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4626" w:rsidRPr="001D69BD" w:rsidRDefault="00954626">
      <w:pPr>
        <w:widowControl/>
        <w:rPr>
          <w:rFonts w:eastAsia="Corbel" w:cs="Calibri"/>
          <w:b/>
          <w:bCs/>
          <w:color w:val="9C1C1F"/>
          <w:w w:val="132"/>
          <w:sz w:val="52"/>
          <w:szCs w:val="60"/>
          <w:lang w:val="fr-FR"/>
        </w:rPr>
      </w:pPr>
    </w:p>
    <w:p w:rsidR="0044255C" w:rsidRPr="001D69BD" w:rsidRDefault="0044255C">
      <w:pPr>
        <w:widowControl/>
        <w:rPr>
          <w:rFonts w:eastAsia="Corbel" w:cs="Calibri"/>
          <w:b/>
          <w:bCs/>
          <w:color w:val="9C1C1F"/>
          <w:w w:val="132"/>
          <w:sz w:val="52"/>
          <w:szCs w:val="60"/>
          <w:lang w:val="fr-FR"/>
        </w:rPr>
      </w:pPr>
    </w:p>
    <w:p w:rsidR="0044255C" w:rsidRPr="001D69BD" w:rsidRDefault="0044255C">
      <w:pPr>
        <w:widowControl/>
        <w:rPr>
          <w:rFonts w:eastAsia="Corbel" w:cs="Calibri"/>
          <w:b/>
          <w:bCs/>
          <w:color w:val="9C1C1F"/>
          <w:w w:val="132"/>
          <w:sz w:val="52"/>
          <w:szCs w:val="60"/>
          <w:lang w:val="fr-FR"/>
        </w:rPr>
      </w:pPr>
    </w:p>
    <w:p w:rsidR="00954626" w:rsidRPr="003A6B2F" w:rsidRDefault="00954626">
      <w:pPr>
        <w:widowControl/>
        <w:rPr>
          <w:rFonts w:eastAsia="Corbel" w:cs="Calibri"/>
          <w:b/>
          <w:bCs/>
          <w:color w:val="9C1C1F"/>
          <w:w w:val="132"/>
          <w:sz w:val="56"/>
          <w:szCs w:val="60"/>
          <w:lang w:val="fr-FR"/>
        </w:rPr>
      </w:pPr>
      <w:r w:rsidRPr="003A6B2F">
        <w:rPr>
          <w:rFonts w:eastAsia="Corbel" w:cs="Calibri"/>
          <w:b/>
          <w:bCs/>
          <w:color w:val="9C1C1F"/>
          <w:w w:val="132"/>
          <w:sz w:val="56"/>
          <w:szCs w:val="60"/>
          <w:lang w:val="fr-FR"/>
        </w:rPr>
        <w:t xml:space="preserve">Investissez </w:t>
      </w:r>
    </w:p>
    <w:p w:rsidR="00954626" w:rsidRPr="003A6B2F" w:rsidRDefault="00954626">
      <w:pPr>
        <w:widowControl/>
        <w:rPr>
          <w:rFonts w:eastAsia="Corbel" w:cs="Calibri"/>
          <w:b/>
          <w:bCs/>
          <w:color w:val="9C1C1F"/>
          <w:w w:val="132"/>
          <w:sz w:val="56"/>
          <w:szCs w:val="60"/>
          <w:lang w:val="fr-FR"/>
        </w:rPr>
      </w:pPr>
      <w:proofErr w:type="gramStart"/>
      <w:r w:rsidRPr="003A6B2F">
        <w:rPr>
          <w:rFonts w:eastAsia="Corbel" w:cs="Calibri"/>
          <w:b/>
          <w:bCs/>
          <w:color w:val="9C1C1F"/>
          <w:w w:val="132"/>
          <w:sz w:val="56"/>
          <w:szCs w:val="60"/>
          <w:lang w:val="fr-FR"/>
        </w:rPr>
        <w:t>dans</w:t>
      </w:r>
      <w:proofErr w:type="gramEnd"/>
      <w:r w:rsidRPr="003A6B2F">
        <w:rPr>
          <w:rFonts w:eastAsia="Corbel" w:cs="Calibri"/>
          <w:b/>
          <w:bCs/>
          <w:color w:val="9C1C1F"/>
          <w:w w:val="132"/>
          <w:sz w:val="56"/>
          <w:szCs w:val="60"/>
          <w:lang w:val="fr-FR"/>
        </w:rPr>
        <w:t xml:space="preserve"> l’hôtellerie économique </w:t>
      </w:r>
    </w:p>
    <w:p w:rsidR="00954626" w:rsidRPr="003A6B2F" w:rsidRDefault="00954626">
      <w:pPr>
        <w:widowControl/>
        <w:rPr>
          <w:rFonts w:eastAsia="Corbel" w:cs="Calibri"/>
          <w:b/>
          <w:bCs/>
          <w:color w:val="9C1C1F"/>
          <w:w w:val="132"/>
          <w:sz w:val="56"/>
          <w:szCs w:val="60"/>
          <w:lang w:val="fr-FR"/>
        </w:rPr>
      </w:pPr>
      <w:proofErr w:type="gramStart"/>
      <w:r w:rsidRPr="003A6B2F">
        <w:rPr>
          <w:rFonts w:eastAsia="Corbel" w:cs="Calibri"/>
          <w:b/>
          <w:bCs/>
          <w:color w:val="9C1C1F"/>
          <w:w w:val="132"/>
          <w:sz w:val="56"/>
          <w:szCs w:val="60"/>
          <w:lang w:val="fr-FR"/>
        </w:rPr>
        <w:t>et</w:t>
      </w:r>
      <w:proofErr w:type="gramEnd"/>
      <w:r w:rsidRPr="003A6B2F">
        <w:rPr>
          <w:rFonts w:eastAsia="Corbel" w:cs="Calibri"/>
          <w:b/>
          <w:bCs/>
          <w:color w:val="9C1C1F"/>
          <w:w w:val="132"/>
          <w:sz w:val="56"/>
          <w:szCs w:val="60"/>
          <w:lang w:val="fr-FR"/>
        </w:rPr>
        <w:t xml:space="preserve"> l’immobilier</w:t>
      </w:r>
    </w:p>
    <w:p w:rsidR="00954626" w:rsidRPr="001D69BD" w:rsidRDefault="00954626">
      <w:pPr>
        <w:widowControl/>
        <w:rPr>
          <w:rFonts w:eastAsia="Corbel" w:cs="Calibri"/>
          <w:b/>
          <w:bCs/>
          <w:color w:val="9C1C1F"/>
          <w:w w:val="132"/>
          <w:sz w:val="40"/>
          <w:szCs w:val="60"/>
          <w:lang w:val="fr-FR"/>
        </w:rPr>
      </w:pPr>
    </w:p>
    <w:p w:rsidR="002A6D91" w:rsidRPr="001D69BD" w:rsidRDefault="002A6D91">
      <w:pPr>
        <w:widowControl/>
        <w:rPr>
          <w:rFonts w:eastAsia="Corbel" w:cs="Calibri"/>
          <w:b/>
          <w:bCs/>
          <w:color w:val="9C1C1F"/>
          <w:w w:val="132"/>
          <w:sz w:val="40"/>
          <w:szCs w:val="60"/>
          <w:lang w:val="fr-FR"/>
        </w:rPr>
      </w:pPr>
    </w:p>
    <w:p w:rsidR="00954626" w:rsidRPr="001D69BD" w:rsidRDefault="00954626">
      <w:pPr>
        <w:widowControl/>
        <w:rPr>
          <w:rFonts w:eastAsia="Corbel" w:cs="Calibri"/>
          <w:b/>
          <w:bCs/>
          <w:color w:val="9C1C1F"/>
          <w:w w:val="132"/>
          <w:sz w:val="40"/>
          <w:szCs w:val="60"/>
          <w:lang w:val="fr-FR"/>
        </w:rPr>
      </w:pPr>
    </w:p>
    <w:p w:rsidR="00954626" w:rsidRDefault="00954626" w:rsidP="001D69BD">
      <w:pPr>
        <w:widowControl/>
        <w:ind w:left="2977" w:hanging="284"/>
        <w:jc w:val="right"/>
        <w:rPr>
          <w:rFonts w:eastAsia="Corbel" w:cs="Calibri"/>
          <w:b/>
          <w:bCs/>
          <w:w w:val="132"/>
          <w:sz w:val="32"/>
          <w:szCs w:val="60"/>
          <w:lang w:val="fr-FR"/>
        </w:rPr>
      </w:pPr>
      <w:r w:rsidRPr="001D69BD">
        <w:rPr>
          <w:rFonts w:eastAsia="Corbel" w:cs="Calibri"/>
          <w:b/>
          <w:bCs/>
          <w:w w:val="132"/>
          <w:sz w:val="32"/>
          <w:szCs w:val="60"/>
          <w:lang w:val="fr-FR"/>
        </w:rPr>
        <w:t xml:space="preserve">Dividendes et plus-values exonérés d’impôts sur le revenu </w:t>
      </w:r>
      <w:r w:rsidR="002A6D91" w:rsidRPr="001D69BD">
        <w:rPr>
          <w:rFonts w:eastAsia="Corbel" w:cs="Calibri"/>
          <w:b/>
          <w:bCs/>
          <w:w w:val="132"/>
          <w:sz w:val="32"/>
          <w:szCs w:val="60"/>
          <w:lang w:val="fr-FR"/>
        </w:rPr>
        <w:t>(</w:t>
      </w:r>
      <w:r w:rsidRPr="001D69BD">
        <w:rPr>
          <w:rFonts w:eastAsia="Corbel" w:cs="Calibri"/>
          <w:b/>
          <w:bCs/>
          <w:w w:val="132"/>
          <w:sz w:val="32"/>
          <w:szCs w:val="60"/>
          <w:lang w:val="fr-FR"/>
        </w:rPr>
        <w:t>IRPP</w:t>
      </w:r>
      <w:r w:rsidR="002A6D91" w:rsidRPr="001D69BD">
        <w:rPr>
          <w:rFonts w:eastAsia="Corbel" w:cs="Calibri"/>
          <w:b/>
          <w:bCs/>
          <w:w w:val="132"/>
          <w:sz w:val="32"/>
          <w:szCs w:val="60"/>
          <w:lang w:val="fr-FR"/>
        </w:rPr>
        <w:t>)</w:t>
      </w:r>
    </w:p>
    <w:p w:rsidR="00954626" w:rsidRPr="001D69BD" w:rsidRDefault="000B6413" w:rsidP="000B6413">
      <w:pPr>
        <w:widowControl/>
        <w:tabs>
          <w:tab w:val="left" w:pos="4909"/>
          <w:tab w:val="right" w:pos="9072"/>
        </w:tabs>
        <w:ind w:left="3686" w:hanging="284"/>
        <w:rPr>
          <w:rFonts w:eastAsia="Corbel" w:cs="Calibri"/>
          <w:b/>
          <w:bCs/>
          <w:w w:val="132"/>
          <w:sz w:val="36"/>
          <w:szCs w:val="60"/>
          <w:lang w:val="fr-FR"/>
        </w:rPr>
      </w:pPr>
      <w:r>
        <w:rPr>
          <w:rStyle w:val="lev"/>
          <w:rFonts w:cs="Calibri"/>
          <w:color w:val="000000"/>
          <w:sz w:val="20"/>
          <w:szCs w:val="16"/>
          <w:shd w:val="clear" w:color="auto" w:fill="FFFFFF"/>
          <w:lang w:val="fr-FR"/>
        </w:rPr>
        <w:tab/>
      </w:r>
      <w:r>
        <w:rPr>
          <w:rStyle w:val="lev"/>
          <w:rFonts w:cs="Calibri"/>
          <w:color w:val="000000"/>
          <w:sz w:val="20"/>
          <w:szCs w:val="16"/>
          <w:shd w:val="clear" w:color="auto" w:fill="FFFFFF"/>
          <w:lang w:val="fr-FR"/>
        </w:rPr>
        <w:tab/>
      </w:r>
      <w:r w:rsidR="00954626" w:rsidRPr="001D69BD">
        <w:rPr>
          <w:rStyle w:val="lev"/>
          <w:rFonts w:cs="Calibri"/>
          <w:color w:val="000000"/>
          <w:sz w:val="20"/>
          <w:szCs w:val="16"/>
          <w:shd w:val="clear" w:color="auto" w:fill="FFFFFF"/>
          <w:lang w:val="fr-FR"/>
        </w:rPr>
        <w:t>Loi n° 85-695 du 11 juillet 1985</w:t>
      </w:r>
    </w:p>
    <w:p w:rsidR="002A5799" w:rsidRDefault="002A5799" w:rsidP="000B6413">
      <w:pPr>
        <w:pStyle w:val="En-tte"/>
        <w:pBdr>
          <w:bottom w:val="single" w:sz="4" w:space="1" w:color="auto"/>
        </w:pBdr>
        <w:rPr>
          <w:rFonts w:eastAsia="Corbel" w:cs="Calibri"/>
          <w:b/>
          <w:bCs/>
          <w:color w:val="9C1C1F"/>
          <w:w w:val="132"/>
          <w:sz w:val="40"/>
          <w:szCs w:val="60"/>
          <w:lang w:val="fr-FR"/>
        </w:rPr>
      </w:pPr>
    </w:p>
    <w:p w:rsidR="002A5799" w:rsidRDefault="002A5799" w:rsidP="000B6413">
      <w:pPr>
        <w:pStyle w:val="En-tte"/>
        <w:pBdr>
          <w:bottom w:val="single" w:sz="4" w:space="1" w:color="auto"/>
        </w:pBdr>
        <w:rPr>
          <w:rFonts w:eastAsia="Corbel" w:cs="Calibri"/>
          <w:b/>
          <w:bCs/>
          <w:color w:val="9C1C1F"/>
          <w:w w:val="132"/>
          <w:sz w:val="40"/>
          <w:szCs w:val="60"/>
          <w:lang w:val="fr-FR"/>
        </w:rPr>
      </w:pPr>
    </w:p>
    <w:p w:rsidR="002A5799" w:rsidRDefault="002A5799" w:rsidP="000B6413">
      <w:pPr>
        <w:pStyle w:val="En-tte"/>
        <w:pBdr>
          <w:bottom w:val="single" w:sz="4" w:space="1" w:color="auto"/>
        </w:pBdr>
        <w:rPr>
          <w:rFonts w:eastAsia="Corbel" w:cs="Calibri"/>
          <w:b/>
          <w:bCs/>
          <w:color w:val="9C1C1F"/>
          <w:w w:val="132"/>
          <w:sz w:val="40"/>
          <w:szCs w:val="60"/>
          <w:lang w:val="fr-FR"/>
        </w:rPr>
      </w:pPr>
    </w:p>
    <w:p w:rsidR="002A5799" w:rsidRDefault="002A5799" w:rsidP="000B6413">
      <w:pPr>
        <w:pStyle w:val="En-tte"/>
        <w:pBdr>
          <w:bottom w:val="single" w:sz="4" w:space="1" w:color="auto"/>
        </w:pBdr>
        <w:rPr>
          <w:rFonts w:eastAsia="Corbel" w:cs="Calibri"/>
          <w:b/>
          <w:bCs/>
          <w:color w:val="9C1C1F"/>
          <w:w w:val="132"/>
          <w:sz w:val="40"/>
          <w:szCs w:val="60"/>
          <w:lang w:val="fr-FR"/>
        </w:rPr>
      </w:pPr>
    </w:p>
    <w:p w:rsidR="002A5799" w:rsidRDefault="002A5799" w:rsidP="000B6413">
      <w:pPr>
        <w:pStyle w:val="En-tte"/>
        <w:pBdr>
          <w:bottom w:val="single" w:sz="4" w:space="1" w:color="auto"/>
        </w:pBdr>
        <w:rPr>
          <w:rFonts w:eastAsia="Corbel" w:cs="Calibri"/>
          <w:b/>
          <w:bCs/>
          <w:color w:val="9C1C1F"/>
          <w:w w:val="132"/>
          <w:sz w:val="40"/>
          <w:szCs w:val="60"/>
          <w:lang w:val="fr-FR"/>
        </w:rPr>
      </w:pPr>
    </w:p>
    <w:p w:rsidR="002A5799" w:rsidRDefault="002A5799" w:rsidP="000B6413">
      <w:pPr>
        <w:pStyle w:val="En-tte"/>
        <w:pBdr>
          <w:bottom w:val="single" w:sz="4" w:space="1" w:color="auto"/>
        </w:pBdr>
        <w:rPr>
          <w:rFonts w:eastAsia="Corbel" w:cs="Calibri"/>
          <w:b/>
          <w:bCs/>
          <w:color w:val="9C1C1F"/>
          <w:w w:val="132"/>
          <w:sz w:val="40"/>
          <w:szCs w:val="60"/>
          <w:lang w:val="fr-FR"/>
        </w:rPr>
      </w:pPr>
    </w:p>
    <w:p w:rsidR="000B6413" w:rsidRPr="0044255C" w:rsidRDefault="00954626" w:rsidP="000B6413">
      <w:pPr>
        <w:pStyle w:val="En-tte"/>
        <w:pBdr>
          <w:bottom w:val="single" w:sz="4" w:space="1" w:color="auto"/>
        </w:pBdr>
        <w:rPr>
          <w:b/>
          <w:sz w:val="48"/>
          <w:lang w:val="fr-FR"/>
        </w:rPr>
      </w:pPr>
      <w:r w:rsidRPr="001D69BD">
        <w:rPr>
          <w:rFonts w:eastAsia="Corbel" w:cs="Calibri"/>
          <w:b/>
          <w:bCs/>
          <w:color w:val="9C1C1F"/>
          <w:w w:val="132"/>
          <w:sz w:val="40"/>
          <w:szCs w:val="60"/>
          <w:lang w:val="fr-FR"/>
        </w:rPr>
        <w:br w:type="page"/>
      </w:r>
      <w:r w:rsidR="000B6413" w:rsidRPr="0044255C">
        <w:rPr>
          <w:b/>
          <w:color w:val="943634"/>
          <w:sz w:val="96"/>
          <w:lang w:val="fr-FR"/>
        </w:rPr>
        <w:lastRenderedPageBreak/>
        <w:t>HBC</w:t>
      </w:r>
      <w:r w:rsidR="000B6413" w:rsidRPr="0044255C">
        <w:rPr>
          <w:b/>
          <w:sz w:val="48"/>
          <w:lang w:val="fr-FR"/>
        </w:rPr>
        <w:t xml:space="preserve"> CAPITAL</w:t>
      </w:r>
    </w:p>
    <w:p w:rsidR="000B6413" w:rsidRPr="000434E3" w:rsidRDefault="000B6413" w:rsidP="000B6413">
      <w:pPr>
        <w:widowControl/>
        <w:spacing w:after="0"/>
        <w:rPr>
          <w:rFonts w:eastAsia="Corbel" w:cs="Calibri"/>
          <w:b/>
          <w:bCs/>
          <w:color w:val="9C1C1F"/>
          <w:spacing w:val="-27"/>
          <w:sz w:val="28"/>
          <w:szCs w:val="60"/>
          <w:lang w:val="fr-FR"/>
        </w:rPr>
      </w:pPr>
    </w:p>
    <w:p w:rsidR="00BE66D4" w:rsidRPr="001D69BD" w:rsidRDefault="00D57B54" w:rsidP="000B6413">
      <w:pPr>
        <w:widowControl/>
        <w:rPr>
          <w:rFonts w:eastAsia="Corbel" w:cs="Calibri"/>
          <w:sz w:val="28"/>
          <w:szCs w:val="48"/>
          <w:lang w:val="fr-FR"/>
        </w:rPr>
      </w:pPr>
      <w:r w:rsidRPr="001D69BD">
        <w:rPr>
          <w:rFonts w:eastAsia="Corbel" w:cs="Calibri"/>
          <w:b/>
          <w:bCs/>
          <w:color w:val="9C1C1F"/>
          <w:spacing w:val="-27"/>
          <w:sz w:val="40"/>
          <w:szCs w:val="60"/>
          <w:lang w:val="fr-FR"/>
        </w:rPr>
        <w:t>U</w:t>
      </w:r>
      <w:r w:rsidR="00BE66D4" w:rsidRPr="001D69BD">
        <w:rPr>
          <w:rFonts w:eastAsia="Corbel" w:cs="Calibri"/>
          <w:b/>
          <w:bCs/>
          <w:color w:val="9C1C1F"/>
          <w:spacing w:val="-27"/>
          <w:sz w:val="40"/>
          <w:szCs w:val="60"/>
          <w:lang w:val="fr-FR"/>
        </w:rPr>
        <w:t>n véhicule innovant</w:t>
      </w:r>
    </w:p>
    <w:p w:rsidR="0007277F" w:rsidRPr="0007277F" w:rsidRDefault="0007277F" w:rsidP="0007277F">
      <w:pPr>
        <w:jc w:val="both"/>
        <w:rPr>
          <w:lang w:val="fr-FR"/>
        </w:rPr>
      </w:pPr>
      <w:r w:rsidRPr="0007277F">
        <w:rPr>
          <w:lang w:val="fr-FR"/>
        </w:rPr>
        <w:t xml:space="preserve">HBC CAPITAL (Hôtels Best </w:t>
      </w:r>
      <w:proofErr w:type="spellStart"/>
      <w:r w:rsidRPr="0007277F">
        <w:rPr>
          <w:lang w:val="fr-FR"/>
        </w:rPr>
        <w:t>Cost</w:t>
      </w:r>
      <w:proofErr w:type="spellEnd"/>
      <w:r w:rsidRPr="0007277F">
        <w:rPr>
          <w:lang w:val="fr-FR"/>
        </w:rPr>
        <w:t>) est une société d’investissement constituée sous la forme d’une SAS à capital variable ayant opté pour le régime fiscal des sociétés de capital-risque (« SCR »).</w:t>
      </w:r>
    </w:p>
    <w:p w:rsidR="0007277F" w:rsidRPr="0007277F" w:rsidRDefault="0007277F" w:rsidP="0007277F">
      <w:pPr>
        <w:pBdr>
          <w:top w:val="single" w:sz="4" w:space="1" w:color="auto"/>
          <w:left w:val="single" w:sz="4" w:space="4" w:color="auto"/>
          <w:bottom w:val="single" w:sz="4" w:space="1" w:color="auto"/>
          <w:right w:val="single" w:sz="4" w:space="4" w:color="auto"/>
        </w:pBdr>
        <w:shd w:val="clear" w:color="auto" w:fill="D9D9D9" w:themeFill="background1" w:themeFillShade="D9"/>
        <w:ind w:left="360"/>
        <w:jc w:val="both"/>
        <w:rPr>
          <w:lang w:val="fr-FR"/>
        </w:rPr>
      </w:pPr>
      <w:r w:rsidRPr="0007277F">
        <w:rPr>
          <w:lang w:val="fr-FR"/>
        </w:rPr>
        <w:t>Les Société de capital-risque bénéficient d’un régime fiscal de faveur prévu par la Loi n° 85-695 du 11 juillet 1985 et les dispositions légales et réglementaires du Code général des impôts</w:t>
      </w:r>
      <w:r>
        <w:rPr>
          <w:lang w:val="fr-FR"/>
        </w:rPr>
        <w:t>.</w:t>
      </w:r>
    </w:p>
    <w:p w:rsidR="0007277F" w:rsidRPr="0007277F" w:rsidRDefault="0007277F" w:rsidP="0007277F">
      <w:pPr>
        <w:jc w:val="both"/>
        <w:rPr>
          <w:lang w:val="fr-FR"/>
        </w:rPr>
      </w:pPr>
      <w:r w:rsidRPr="0007277F">
        <w:rPr>
          <w:lang w:val="fr-FR"/>
        </w:rPr>
        <w:t xml:space="preserve">les associés personnes physiques peuvent bénéficier d’un régime d’exonération d’impôt sur le revenu pour les dividendes perçus et les plus-values de cession de titres réalisées (seules les contributions sociales restant applicables) à condition notamment de conserver les actions et de réinvestir leurs produits dans la SCR pendant une durée de 5 ans. </w:t>
      </w:r>
    </w:p>
    <w:p w:rsidR="0007277F" w:rsidRPr="0007277F" w:rsidRDefault="0007277F" w:rsidP="0007277F">
      <w:pPr>
        <w:jc w:val="both"/>
        <w:rPr>
          <w:lang w:val="fr-FR"/>
        </w:rPr>
      </w:pPr>
      <w:r w:rsidRPr="0007277F">
        <w:rPr>
          <w:lang w:val="fr-FR"/>
        </w:rPr>
        <w:t>Les conditions d’application de ce régime sont présentées à titre indicatif et de manière synthétique dans un document annexe au</w:t>
      </w:r>
      <w:r>
        <w:rPr>
          <w:lang w:val="fr-FR"/>
        </w:rPr>
        <w:t>quel il convient de se reporter.</w:t>
      </w:r>
    </w:p>
    <w:p w:rsidR="0007277F" w:rsidRDefault="0007277F" w:rsidP="00BE66D4">
      <w:pPr>
        <w:spacing w:before="62" w:after="0" w:line="294" w:lineRule="auto"/>
        <w:ind w:left="117" w:right="-64"/>
        <w:jc w:val="both"/>
        <w:rPr>
          <w:rFonts w:eastAsia="Corbel" w:cs="Calibri"/>
          <w:b/>
          <w:bCs/>
          <w:spacing w:val="-28"/>
          <w:w w:val="122"/>
          <w:szCs w:val="24"/>
          <w:lang w:val="fr-FR"/>
        </w:rPr>
      </w:pPr>
    </w:p>
    <w:tbl>
      <w:tblPr>
        <w:tblStyle w:val="Grilledutableau"/>
        <w:tblW w:w="0" w:type="auto"/>
        <w:tblLook w:val="04A0"/>
      </w:tblPr>
      <w:tblGrid>
        <w:gridCol w:w="4605"/>
        <w:gridCol w:w="4605"/>
      </w:tblGrid>
      <w:tr w:rsidR="009F3828" w:rsidTr="000B7C09">
        <w:tc>
          <w:tcPr>
            <w:tcW w:w="4605" w:type="dxa"/>
          </w:tcPr>
          <w:p w:rsidR="009F3828" w:rsidRPr="009F3828" w:rsidRDefault="009F3828" w:rsidP="000B7C09">
            <w:pPr>
              <w:rPr>
                <w:b/>
                <w:i/>
                <w:lang w:val="fr-FR"/>
              </w:rPr>
            </w:pPr>
            <w:r w:rsidRPr="009F3828">
              <w:rPr>
                <w:rFonts w:ascii="Arial" w:hAnsi="Arial" w:cs="Arial"/>
                <w:b/>
                <w:i/>
                <w:color w:val="222222"/>
                <w:sz w:val="27"/>
                <w:szCs w:val="27"/>
                <w:shd w:val="clear" w:color="auto" w:fill="FFFFFF"/>
                <w:lang w:val="fr-FR"/>
              </w:rPr>
              <w:t>Nous nous positionnons sur des marchés en croissance qui ont prouvé leur résistance face à la crise."</w:t>
            </w:r>
          </w:p>
        </w:tc>
        <w:tc>
          <w:tcPr>
            <w:tcW w:w="4605" w:type="dxa"/>
          </w:tcPr>
          <w:p w:rsidR="009F3828" w:rsidRDefault="009F3828" w:rsidP="000B7C09">
            <w:pPr>
              <w:jc w:val="center"/>
              <w:rPr>
                <w:lang w:val="fr-FR"/>
              </w:rPr>
            </w:pPr>
            <w:r w:rsidRPr="009F3828">
              <w:rPr>
                <w:lang w:val="fr-FR"/>
              </w:rPr>
              <w:drawing>
                <wp:inline distT="0" distB="0" distL="0" distR="0">
                  <wp:extent cx="1032019" cy="1553689"/>
                  <wp:effectExtent l="19050" t="0" r="0" b="0"/>
                  <wp:docPr id="14" name="Image 1" descr="C:\Users\Stéphane de Reynal\Desktop\dossiers plaquete HBC CAPITAL\equipe paris\Stéphane de Rey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éphane de Reynal\Desktop\dossiers plaquete HBC CAPITAL\equipe paris\Stéphane de Reynal.JPG"/>
                          <pic:cNvPicPr>
                            <a:picLocks noChangeAspect="1" noChangeArrowheads="1"/>
                          </pic:cNvPicPr>
                        </pic:nvPicPr>
                        <pic:blipFill>
                          <a:blip r:embed="rId7" cstate="print"/>
                          <a:srcRect/>
                          <a:stretch>
                            <a:fillRect/>
                          </a:stretch>
                        </pic:blipFill>
                        <pic:spPr bwMode="auto">
                          <a:xfrm>
                            <a:off x="0" y="0"/>
                            <a:ext cx="1032555" cy="1554496"/>
                          </a:xfrm>
                          <a:prstGeom prst="rect">
                            <a:avLst/>
                          </a:prstGeom>
                          <a:noFill/>
                          <a:ln w="9525">
                            <a:noFill/>
                            <a:miter lim="800000"/>
                            <a:headEnd/>
                            <a:tailEnd/>
                          </a:ln>
                        </pic:spPr>
                      </pic:pic>
                    </a:graphicData>
                  </a:graphic>
                </wp:inline>
              </w:drawing>
            </w:r>
          </w:p>
        </w:tc>
      </w:tr>
    </w:tbl>
    <w:p w:rsidR="009F3828" w:rsidRDefault="009F3828" w:rsidP="00BE66D4">
      <w:pPr>
        <w:spacing w:before="62" w:after="0" w:line="294" w:lineRule="auto"/>
        <w:ind w:left="117" w:right="-64"/>
        <w:jc w:val="both"/>
        <w:rPr>
          <w:rFonts w:eastAsia="Corbel" w:cs="Calibri"/>
          <w:b/>
          <w:bCs/>
          <w:spacing w:val="-28"/>
          <w:w w:val="122"/>
          <w:szCs w:val="24"/>
          <w:lang w:val="fr-FR"/>
        </w:rPr>
      </w:pPr>
    </w:p>
    <w:p w:rsidR="009F3828" w:rsidRDefault="009F3828" w:rsidP="00BE66D4">
      <w:pPr>
        <w:spacing w:before="62" w:after="0" w:line="294" w:lineRule="auto"/>
        <w:ind w:left="117" w:right="-64"/>
        <w:jc w:val="both"/>
        <w:rPr>
          <w:rFonts w:eastAsia="Corbel" w:cs="Calibri"/>
          <w:b/>
          <w:bCs/>
          <w:spacing w:val="-28"/>
          <w:w w:val="122"/>
          <w:szCs w:val="24"/>
          <w:lang w:val="fr-FR"/>
        </w:rPr>
      </w:pPr>
    </w:p>
    <w:p w:rsidR="005719D6" w:rsidRPr="001D69BD" w:rsidRDefault="00D57B54" w:rsidP="00D57B54">
      <w:pPr>
        <w:spacing w:after="0" w:line="240" w:lineRule="auto"/>
        <w:ind w:left="117" w:right="1275"/>
        <w:jc w:val="both"/>
        <w:rPr>
          <w:rFonts w:eastAsia="Corbel" w:cs="Calibri"/>
          <w:b/>
          <w:bCs/>
          <w:color w:val="9C1C1F"/>
          <w:spacing w:val="-27"/>
          <w:sz w:val="40"/>
          <w:szCs w:val="60"/>
          <w:lang w:val="fr-FR"/>
        </w:rPr>
      </w:pPr>
      <w:r w:rsidRPr="001D69BD">
        <w:rPr>
          <w:rFonts w:eastAsia="Corbel" w:cs="Calibri"/>
          <w:b/>
          <w:bCs/>
          <w:color w:val="9C1C1F"/>
          <w:spacing w:val="-27"/>
          <w:sz w:val="40"/>
          <w:szCs w:val="60"/>
          <w:lang w:val="fr-FR"/>
        </w:rPr>
        <w:t>U</w:t>
      </w:r>
      <w:r w:rsidR="005115F0">
        <w:rPr>
          <w:rFonts w:eastAsia="Corbel" w:cs="Calibri"/>
          <w:b/>
          <w:bCs/>
          <w:color w:val="9C1C1F"/>
          <w:spacing w:val="-27"/>
          <w:sz w:val="40"/>
          <w:szCs w:val="60"/>
          <w:lang w:val="fr-FR"/>
        </w:rPr>
        <w:t xml:space="preserve">ne société de </w:t>
      </w:r>
      <w:r w:rsidR="00BE66D4" w:rsidRPr="001D69BD">
        <w:rPr>
          <w:rFonts w:eastAsia="Corbel" w:cs="Calibri"/>
          <w:b/>
          <w:bCs/>
          <w:color w:val="9C1C1F"/>
          <w:spacing w:val="-27"/>
          <w:sz w:val="40"/>
          <w:szCs w:val="60"/>
          <w:lang w:val="fr-FR"/>
        </w:rPr>
        <w:t xml:space="preserve">capital-risque </w:t>
      </w:r>
      <w:r w:rsidRPr="001D69BD">
        <w:rPr>
          <w:rFonts w:eastAsia="Corbel" w:cs="Calibri"/>
          <w:b/>
          <w:bCs/>
          <w:color w:val="9C1C1F"/>
          <w:spacing w:val="-27"/>
          <w:sz w:val="40"/>
          <w:szCs w:val="60"/>
          <w:lang w:val="fr-FR"/>
        </w:rPr>
        <w:t>conçu</w:t>
      </w:r>
      <w:r w:rsidR="005115F0">
        <w:rPr>
          <w:rFonts w:eastAsia="Corbel" w:cs="Calibri"/>
          <w:b/>
          <w:bCs/>
          <w:color w:val="9C1C1F"/>
          <w:spacing w:val="-27"/>
          <w:sz w:val="40"/>
          <w:szCs w:val="60"/>
          <w:lang w:val="fr-FR"/>
        </w:rPr>
        <w:t>e</w:t>
      </w:r>
      <w:r w:rsidRPr="001D69BD">
        <w:rPr>
          <w:rFonts w:eastAsia="Corbel" w:cs="Calibri"/>
          <w:b/>
          <w:bCs/>
          <w:color w:val="9C1C1F"/>
          <w:spacing w:val="-27"/>
          <w:sz w:val="40"/>
          <w:szCs w:val="60"/>
          <w:lang w:val="fr-FR"/>
        </w:rPr>
        <w:t xml:space="preserve"> et géré</w:t>
      </w:r>
      <w:r w:rsidR="005115F0">
        <w:rPr>
          <w:rFonts w:eastAsia="Corbel" w:cs="Calibri"/>
          <w:b/>
          <w:bCs/>
          <w:color w:val="9C1C1F"/>
          <w:spacing w:val="-27"/>
          <w:sz w:val="40"/>
          <w:szCs w:val="60"/>
          <w:lang w:val="fr-FR"/>
        </w:rPr>
        <w:t>e</w:t>
      </w:r>
      <w:r w:rsidRPr="001D69BD">
        <w:rPr>
          <w:rFonts w:eastAsia="Corbel" w:cs="Calibri"/>
          <w:b/>
          <w:bCs/>
          <w:color w:val="9C1C1F"/>
          <w:spacing w:val="-27"/>
          <w:sz w:val="40"/>
          <w:szCs w:val="60"/>
          <w:lang w:val="fr-FR"/>
        </w:rPr>
        <w:t xml:space="preserve"> </w:t>
      </w:r>
      <w:r w:rsidR="00BE66D4" w:rsidRPr="001D69BD">
        <w:rPr>
          <w:rFonts w:eastAsia="Corbel" w:cs="Calibri"/>
          <w:b/>
          <w:bCs/>
          <w:color w:val="9C1C1F"/>
          <w:spacing w:val="-27"/>
          <w:sz w:val="40"/>
          <w:szCs w:val="60"/>
          <w:lang w:val="fr-FR"/>
        </w:rPr>
        <w:t>par le Groupe ACI Outremer</w:t>
      </w:r>
    </w:p>
    <w:p w:rsidR="00BE66D4" w:rsidRDefault="00BE66D4" w:rsidP="00BE66D4">
      <w:pPr>
        <w:spacing w:after="0" w:line="240" w:lineRule="auto"/>
        <w:ind w:left="117" w:right="1275"/>
        <w:jc w:val="both"/>
        <w:rPr>
          <w:rFonts w:eastAsia="Corbel" w:cs="Calibri"/>
          <w:lang w:val="fr-FR"/>
        </w:rPr>
      </w:pPr>
      <w:r w:rsidRPr="001D69BD">
        <w:rPr>
          <w:rFonts w:eastAsia="Corbel" w:cs="Calibri"/>
          <w:lang w:val="fr-FR"/>
        </w:rPr>
        <w:t>Fort d’une connaissance approfondie en ingénierie financière et en promotion immobilière, le Groupe ACI OUTREMER et ses filiales bénéficient d’une expérience de plus de vingt ans dans la structuration financière, juridique et fiscale d’investissements immobiliers et industriels.</w:t>
      </w:r>
    </w:p>
    <w:p w:rsidR="002710FC" w:rsidRPr="001D69BD" w:rsidRDefault="002710FC" w:rsidP="00BE66D4">
      <w:pPr>
        <w:spacing w:after="0" w:line="240" w:lineRule="auto"/>
        <w:ind w:left="117" w:right="1275"/>
        <w:jc w:val="both"/>
        <w:rPr>
          <w:rFonts w:eastAsia="Corbel" w:cs="Calibri"/>
          <w:lang w:val="fr-FR"/>
        </w:rPr>
      </w:pPr>
    </w:p>
    <w:p w:rsidR="00BE66D4" w:rsidRPr="002710FC" w:rsidRDefault="00BE66D4" w:rsidP="00BE66D4">
      <w:pPr>
        <w:pStyle w:val="Paragraphedeliste"/>
        <w:numPr>
          <w:ilvl w:val="0"/>
          <w:numId w:val="3"/>
        </w:numPr>
        <w:spacing w:after="0" w:line="349" w:lineRule="exact"/>
        <w:ind w:right="-20"/>
        <w:rPr>
          <w:rFonts w:eastAsia="Corbel" w:cs="Calibri"/>
          <w:b/>
          <w:lang w:val="fr-FR"/>
        </w:rPr>
      </w:pPr>
      <w:r w:rsidRPr="002710FC">
        <w:rPr>
          <w:rFonts w:eastAsia="Corbel" w:cs="Calibri"/>
          <w:b/>
          <w:bCs/>
          <w:color w:val="000000"/>
          <w:position w:val="2"/>
          <w:lang w:val="fr-FR"/>
        </w:rPr>
        <w:t>4000 projets structurés et financés depuis vingt ans</w:t>
      </w:r>
      <w:r w:rsidR="00A2736C">
        <w:rPr>
          <w:rFonts w:eastAsia="Corbel" w:cs="Calibri"/>
          <w:b/>
          <w:bCs/>
          <w:color w:val="000000"/>
          <w:position w:val="2"/>
          <w:lang w:val="fr-FR"/>
        </w:rPr>
        <w:t>.</w:t>
      </w:r>
    </w:p>
    <w:p w:rsidR="00BE66D4" w:rsidRPr="002710FC" w:rsidRDefault="00D57B54" w:rsidP="00BE66D4">
      <w:pPr>
        <w:pStyle w:val="Paragraphedeliste"/>
        <w:numPr>
          <w:ilvl w:val="0"/>
          <w:numId w:val="3"/>
        </w:numPr>
        <w:spacing w:after="0" w:line="360" w:lineRule="exact"/>
        <w:ind w:right="-20"/>
        <w:rPr>
          <w:rFonts w:eastAsia="Corbel" w:cs="Calibri"/>
          <w:b/>
          <w:lang w:val="fr-FR"/>
        </w:rPr>
      </w:pPr>
      <w:r w:rsidRPr="002710FC">
        <w:rPr>
          <w:rFonts w:eastAsia="Corbel" w:cs="Calibri"/>
          <w:b/>
          <w:bCs/>
          <w:color w:val="000000"/>
          <w:position w:val="2"/>
          <w:lang w:val="fr-FR"/>
        </w:rPr>
        <w:t>30</w:t>
      </w:r>
      <w:r w:rsidR="00B76D7C" w:rsidRPr="002710FC">
        <w:rPr>
          <w:rFonts w:eastAsia="Corbel" w:cs="Calibri"/>
          <w:b/>
          <w:bCs/>
          <w:color w:val="000000"/>
          <w:position w:val="2"/>
          <w:lang w:val="fr-FR"/>
        </w:rPr>
        <w:t xml:space="preserve">00 </w:t>
      </w:r>
      <w:r w:rsidR="000B6413">
        <w:rPr>
          <w:rFonts w:eastAsia="Corbel" w:cs="Calibri"/>
          <w:b/>
          <w:bCs/>
          <w:color w:val="000000"/>
          <w:position w:val="2"/>
          <w:lang w:val="fr-FR"/>
        </w:rPr>
        <w:t>i</w:t>
      </w:r>
      <w:r w:rsidR="00B76D7C" w:rsidRPr="002710FC">
        <w:rPr>
          <w:rFonts w:eastAsia="Corbel" w:cs="Calibri"/>
          <w:b/>
          <w:bCs/>
          <w:color w:val="000000"/>
          <w:position w:val="2"/>
          <w:lang w:val="fr-FR"/>
        </w:rPr>
        <w:t>nvestisseurs satisfaits</w:t>
      </w:r>
      <w:r w:rsidR="00A2736C">
        <w:rPr>
          <w:rFonts w:eastAsia="Corbel" w:cs="Calibri"/>
          <w:b/>
          <w:bCs/>
          <w:color w:val="000000"/>
          <w:position w:val="2"/>
          <w:lang w:val="fr-FR"/>
        </w:rPr>
        <w:t>.</w:t>
      </w:r>
    </w:p>
    <w:p w:rsidR="00BE66D4" w:rsidRPr="002710FC" w:rsidRDefault="00D57B54" w:rsidP="00BE66D4">
      <w:pPr>
        <w:pStyle w:val="Paragraphedeliste"/>
        <w:numPr>
          <w:ilvl w:val="0"/>
          <w:numId w:val="3"/>
        </w:numPr>
        <w:spacing w:after="0" w:line="360" w:lineRule="exact"/>
        <w:ind w:right="-20"/>
        <w:rPr>
          <w:rFonts w:eastAsia="Corbel" w:cs="Calibri"/>
          <w:b/>
          <w:lang w:val="fr-FR"/>
        </w:rPr>
      </w:pPr>
      <w:r w:rsidRPr="002710FC">
        <w:rPr>
          <w:rFonts w:eastAsia="Corbel" w:cs="Calibri"/>
          <w:b/>
          <w:lang w:val="fr-FR"/>
        </w:rPr>
        <w:t xml:space="preserve">800 </w:t>
      </w:r>
      <w:r w:rsidR="000B6413">
        <w:rPr>
          <w:rFonts w:eastAsia="Corbel" w:cs="Calibri"/>
          <w:b/>
          <w:lang w:val="fr-FR"/>
        </w:rPr>
        <w:t>sociétés</w:t>
      </w:r>
      <w:r w:rsidRPr="002710FC">
        <w:rPr>
          <w:rFonts w:eastAsia="Corbel" w:cs="Calibri"/>
          <w:b/>
          <w:lang w:val="fr-FR"/>
        </w:rPr>
        <w:t xml:space="preserve"> sous gestion</w:t>
      </w:r>
      <w:r w:rsidR="00A2736C">
        <w:rPr>
          <w:rFonts w:eastAsia="Corbel" w:cs="Calibri"/>
          <w:b/>
          <w:lang w:val="fr-FR"/>
        </w:rPr>
        <w:t>.</w:t>
      </w:r>
    </w:p>
    <w:p w:rsidR="00BE66D4" w:rsidRPr="001D69BD" w:rsidRDefault="00BE66D4" w:rsidP="00BE66D4">
      <w:pPr>
        <w:spacing w:after="0" w:line="240" w:lineRule="auto"/>
        <w:ind w:left="117" w:right="1275"/>
        <w:jc w:val="both"/>
        <w:rPr>
          <w:rFonts w:eastAsia="Corbel" w:cs="Calibri"/>
          <w:sz w:val="24"/>
          <w:szCs w:val="24"/>
          <w:lang w:val="fr-FR"/>
        </w:rPr>
      </w:pPr>
    </w:p>
    <w:p w:rsidR="00B76D7C" w:rsidRPr="001D69BD" w:rsidRDefault="00D57B54" w:rsidP="00D050CB">
      <w:pPr>
        <w:spacing w:after="0" w:line="240" w:lineRule="auto"/>
        <w:ind w:left="117" w:right="2268"/>
        <w:jc w:val="both"/>
        <w:rPr>
          <w:rFonts w:eastAsia="Corbel" w:cs="Calibri"/>
          <w:b/>
          <w:bCs/>
          <w:color w:val="9C1C1F"/>
          <w:spacing w:val="-27"/>
          <w:sz w:val="40"/>
          <w:szCs w:val="60"/>
          <w:lang w:val="fr-FR"/>
        </w:rPr>
      </w:pPr>
      <w:r w:rsidRPr="001D69BD">
        <w:rPr>
          <w:rFonts w:eastAsia="Corbel" w:cs="Calibri"/>
          <w:b/>
          <w:bCs/>
          <w:color w:val="9C1C1F"/>
          <w:spacing w:val="-27"/>
          <w:sz w:val="40"/>
          <w:szCs w:val="60"/>
          <w:lang w:val="fr-FR"/>
        </w:rPr>
        <w:t>D</w:t>
      </w:r>
      <w:r w:rsidR="00B76D7C" w:rsidRPr="001D69BD">
        <w:rPr>
          <w:rFonts w:eastAsia="Corbel" w:cs="Calibri"/>
          <w:b/>
          <w:bCs/>
          <w:color w:val="9C1C1F"/>
          <w:spacing w:val="-27"/>
          <w:sz w:val="40"/>
          <w:szCs w:val="60"/>
          <w:lang w:val="fr-FR"/>
        </w:rPr>
        <w:t>es investissements centrés sur l’hôtellerie et l’immobilier</w:t>
      </w:r>
    </w:p>
    <w:p w:rsidR="00B150A4" w:rsidRDefault="00D050CB" w:rsidP="00D050CB">
      <w:pPr>
        <w:spacing w:after="0" w:line="240" w:lineRule="auto"/>
        <w:ind w:left="117"/>
        <w:jc w:val="both"/>
        <w:rPr>
          <w:rFonts w:eastAsia="Corbel" w:cs="Calibri"/>
          <w:szCs w:val="24"/>
          <w:lang w:val="fr-FR"/>
        </w:rPr>
      </w:pPr>
      <w:r>
        <w:rPr>
          <w:rFonts w:eastAsia="Corbel" w:cs="Calibri"/>
          <w:szCs w:val="24"/>
          <w:lang w:val="fr-FR"/>
        </w:rPr>
        <w:t xml:space="preserve">HBC CAPITAL </w:t>
      </w:r>
      <w:r w:rsidR="00A2736C">
        <w:rPr>
          <w:rFonts w:eastAsia="Corbel" w:cs="Calibri"/>
          <w:szCs w:val="24"/>
          <w:lang w:val="fr-FR"/>
        </w:rPr>
        <w:t>a</w:t>
      </w:r>
      <w:r>
        <w:rPr>
          <w:rFonts w:eastAsia="Corbel" w:cs="Calibri"/>
          <w:szCs w:val="24"/>
          <w:lang w:val="fr-FR"/>
        </w:rPr>
        <w:t xml:space="preserve"> pour objectif d’accueillir jusqu’à 30 millions d’euro de souscriptions sur 2 ans. Le </w:t>
      </w:r>
      <w:r>
        <w:rPr>
          <w:rFonts w:eastAsia="Corbel" w:cs="Calibri"/>
          <w:szCs w:val="24"/>
          <w:lang w:val="fr-FR"/>
        </w:rPr>
        <w:lastRenderedPageBreak/>
        <w:t xml:space="preserve">produit de </w:t>
      </w:r>
      <w:r w:rsidR="00A2736C">
        <w:rPr>
          <w:rFonts w:eastAsia="Corbel" w:cs="Calibri"/>
          <w:szCs w:val="24"/>
          <w:lang w:val="fr-FR"/>
        </w:rPr>
        <w:t>c</w:t>
      </w:r>
      <w:r>
        <w:rPr>
          <w:rFonts w:eastAsia="Corbel" w:cs="Calibri"/>
          <w:szCs w:val="24"/>
          <w:lang w:val="fr-FR"/>
        </w:rPr>
        <w:t xml:space="preserve">es souscriptions permettra la prise de participations minoritaires (40% maximum) </w:t>
      </w:r>
      <w:r w:rsidR="00B150A4">
        <w:rPr>
          <w:rFonts w:eastAsia="Corbel" w:cs="Calibri"/>
          <w:szCs w:val="24"/>
          <w:lang w:val="fr-FR"/>
        </w:rPr>
        <w:t xml:space="preserve">dans le </w:t>
      </w:r>
      <w:r>
        <w:rPr>
          <w:rFonts w:eastAsia="Corbel" w:cs="Calibri"/>
          <w:szCs w:val="24"/>
          <w:lang w:val="fr-FR"/>
        </w:rPr>
        <w:t>capital de sociétés ayant pour objet</w:t>
      </w:r>
      <w:r w:rsidR="00B150A4">
        <w:rPr>
          <w:rFonts w:eastAsia="Corbel" w:cs="Calibri"/>
          <w:szCs w:val="24"/>
          <w:lang w:val="fr-FR"/>
        </w:rPr>
        <w:t> :</w:t>
      </w:r>
    </w:p>
    <w:p w:rsidR="005115F0" w:rsidRDefault="005115F0" w:rsidP="005115F0">
      <w:pPr>
        <w:pStyle w:val="Paragraphedeliste"/>
        <w:numPr>
          <w:ilvl w:val="0"/>
          <w:numId w:val="10"/>
        </w:numPr>
        <w:spacing w:after="0" w:line="240" w:lineRule="auto"/>
        <w:jc w:val="both"/>
        <w:rPr>
          <w:rFonts w:eastAsia="Corbel" w:cs="Calibri"/>
          <w:b/>
          <w:szCs w:val="24"/>
          <w:lang w:val="fr-FR"/>
        </w:rPr>
      </w:pPr>
      <w:r w:rsidRPr="00A2736C">
        <w:rPr>
          <w:rFonts w:eastAsia="Corbel" w:cs="Calibri"/>
          <w:b/>
          <w:szCs w:val="24"/>
          <w:lang w:val="fr-FR"/>
        </w:rPr>
        <w:t xml:space="preserve">La construction </w:t>
      </w:r>
      <w:r>
        <w:rPr>
          <w:rFonts w:eastAsia="Corbel" w:cs="Calibri"/>
          <w:b/>
          <w:szCs w:val="24"/>
          <w:lang w:val="fr-FR"/>
        </w:rPr>
        <w:t xml:space="preserve">ou l’acquisition </w:t>
      </w:r>
      <w:r w:rsidRPr="00A2736C">
        <w:rPr>
          <w:rFonts w:eastAsia="Corbel" w:cs="Calibri"/>
          <w:b/>
          <w:szCs w:val="24"/>
          <w:lang w:val="fr-FR"/>
        </w:rPr>
        <w:t>d’hôtels économiques</w:t>
      </w:r>
      <w:r>
        <w:rPr>
          <w:rFonts w:eastAsia="Corbel" w:cs="Calibri"/>
          <w:b/>
          <w:szCs w:val="24"/>
          <w:lang w:val="fr-FR"/>
        </w:rPr>
        <w:t xml:space="preserve"> et leur </w:t>
      </w:r>
      <w:r w:rsidRPr="00A2736C">
        <w:rPr>
          <w:rFonts w:eastAsia="Corbel" w:cs="Calibri"/>
          <w:b/>
          <w:szCs w:val="24"/>
          <w:lang w:val="fr-FR"/>
        </w:rPr>
        <w:t>exploitation</w:t>
      </w:r>
      <w:r>
        <w:rPr>
          <w:rFonts w:eastAsia="Corbel" w:cs="Calibri"/>
          <w:b/>
          <w:szCs w:val="24"/>
          <w:lang w:val="fr-FR"/>
        </w:rPr>
        <w:t>.</w:t>
      </w:r>
    </w:p>
    <w:p w:rsidR="005115F0" w:rsidRDefault="005115F0" w:rsidP="005115F0">
      <w:pPr>
        <w:pStyle w:val="Paragraphedeliste"/>
        <w:numPr>
          <w:ilvl w:val="0"/>
          <w:numId w:val="10"/>
        </w:numPr>
        <w:spacing w:after="0" w:line="240" w:lineRule="auto"/>
        <w:jc w:val="both"/>
        <w:rPr>
          <w:rFonts w:eastAsia="Corbel" w:cs="Calibri"/>
          <w:b/>
          <w:szCs w:val="24"/>
          <w:lang w:val="fr-FR"/>
        </w:rPr>
      </w:pPr>
      <w:r w:rsidRPr="00A2736C">
        <w:rPr>
          <w:rFonts w:eastAsia="Corbel" w:cs="Calibri"/>
          <w:b/>
          <w:szCs w:val="24"/>
          <w:lang w:val="fr-FR"/>
        </w:rPr>
        <w:t>La construction ou l’acquisition de meublés de tourisme</w:t>
      </w:r>
      <w:r>
        <w:rPr>
          <w:rFonts w:eastAsia="Corbel" w:cs="Calibri"/>
          <w:b/>
          <w:szCs w:val="24"/>
          <w:lang w:val="fr-FR"/>
        </w:rPr>
        <w:t xml:space="preserve"> et leur exploitation.</w:t>
      </w:r>
    </w:p>
    <w:p w:rsidR="005115F0" w:rsidRPr="000E0E98" w:rsidRDefault="005115F0" w:rsidP="005115F0">
      <w:pPr>
        <w:pStyle w:val="Paragraphedeliste"/>
        <w:numPr>
          <w:ilvl w:val="0"/>
          <w:numId w:val="10"/>
        </w:numPr>
        <w:spacing w:after="0" w:line="240" w:lineRule="auto"/>
        <w:jc w:val="both"/>
        <w:rPr>
          <w:rFonts w:eastAsia="Corbel" w:cs="Calibri"/>
          <w:b/>
          <w:szCs w:val="24"/>
          <w:lang w:val="fr-FR"/>
        </w:rPr>
      </w:pPr>
      <w:r w:rsidRPr="00A2736C">
        <w:rPr>
          <w:rFonts w:eastAsia="Corbel" w:cs="Calibri"/>
          <w:b/>
          <w:szCs w:val="24"/>
          <w:lang w:val="fr-FR"/>
        </w:rPr>
        <w:t>La construction-vente d’immeuble en VEFA</w:t>
      </w:r>
      <w:r>
        <w:rPr>
          <w:rFonts w:eastAsia="Corbel" w:cs="Calibri"/>
          <w:b/>
          <w:szCs w:val="24"/>
          <w:lang w:val="fr-FR"/>
        </w:rPr>
        <w:t>.</w:t>
      </w:r>
    </w:p>
    <w:p w:rsidR="005115F0" w:rsidRPr="0007277F" w:rsidRDefault="005115F0" w:rsidP="005115F0">
      <w:pPr>
        <w:jc w:val="both"/>
        <w:rPr>
          <w:lang w:val="fr-FR"/>
        </w:rPr>
      </w:pPr>
      <w:r w:rsidRPr="0007277F">
        <w:rPr>
          <w:lang w:val="fr-FR"/>
        </w:rPr>
        <w:t xml:space="preserve">L’activité d’HBC CAPITAL est </w:t>
      </w:r>
      <w:r>
        <w:rPr>
          <w:lang w:val="fr-FR"/>
        </w:rPr>
        <w:t>notamment</w:t>
      </w:r>
      <w:r w:rsidRPr="0007277F">
        <w:rPr>
          <w:lang w:val="fr-FR"/>
        </w:rPr>
        <w:t xml:space="preserve"> centrée sur l’investissement dans des sociétés développant une activité commerciale d’exploitation d’hôtels économiques. Ces sociétés du portefeuille seront à terme propriétaires des actifs immobiliers qu’elles exploitent. </w:t>
      </w:r>
    </w:p>
    <w:p w:rsidR="005115F0" w:rsidRPr="0007277F" w:rsidRDefault="005115F0" w:rsidP="005115F0">
      <w:pPr>
        <w:jc w:val="both"/>
        <w:rPr>
          <w:lang w:val="fr-FR"/>
        </w:rPr>
      </w:pPr>
      <w:r w:rsidRPr="0007277F">
        <w:rPr>
          <w:lang w:val="fr-FR"/>
        </w:rPr>
        <w:t>HBC capital pourra également diversifier ses investissements dans les secteurs de la promotion immobilière et de l’immobilier de service (meublés de tourisme et/ou résidences médicalisées).</w:t>
      </w:r>
    </w:p>
    <w:p w:rsidR="002710FC" w:rsidRDefault="002710FC" w:rsidP="00D050CB">
      <w:pPr>
        <w:spacing w:after="0" w:line="240" w:lineRule="auto"/>
        <w:ind w:left="117"/>
        <w:jc w:val="both"/>
        <w:rPr>
          <w:rFonts w:eastAsia="Corbel" w:cs="Calibri"/>
          <w:szCs w:val="24"/>
          <w:lang w:val="fr-FR"/>
        </w:rPr>
      </w:pPr>
    </w:p>
    <w:tbl>
      <w:tblPr>
        <w:tblW w:w="0" w:type="auto"/>
        <w:tblInd w:w="250" w:type="dxa"/>
        <w:tblLook w:val="04A0"/>
      </w:tblPr>
      <w:tblGrid>
        <w:gridCol w:w="9036"/>
      </w:tblGrid>
      <w:tr w:rsidR="001D7BC7" w:rsidRPr="00C02D2C" w:rsidTr="00C02D2C">
        <w:tc>
          <w:tcPr>
            <w:tcW w:w="9036" w:type="dxa"/>
            <w:shd w:val="clear" w:color="auto" w:fill="D9D9D9"/>
          </w:tcPr>
          <w:p w:rsidR="001D7BC7" w:rsidRPr="00217220" w:rsidRDefault="001D7BC7" w:rsidP="00217220">
            <w:pPr>
              <w:spacing w:after="0" w:line="240" w:lineRule="auto"/>
              <w:ind w:left="117" w:right="1275"/>
              <w:jc w:val="both"/>
              <w:rPr>
                <w:rFonts w:eastAsia="Corbel" w:cs="Calibri"/>
                <w:b/>
                <w:bCs/>
                <w:color w:val="9C1C1F"/>
                <w:spacing w:val="-27"/>
                <w:sz w:val="40"/>
                <w:szCs w:val="60"/>
                <w:lang w:val="fr-FR"/>
              </w:rPr>
            </w:pPr>
            <w:r w:rsidRPr="00217220">
              <w:rPr>
                <w:rFonts w:eastAsia="Corbel" w:cs="Calibri"/>
                <w:b/>
                <w:bCs/>
                <w:color w:val="9C1C1F"/>
                <w:spacing w:val="-27"/>
                <w:sz w:val="40"/>
                <w:szCs w:val="60"/>
                <w:lang w:val="fr-FR"/>
              </w:rPr>
              <w:t xml:space="preserve">Pourquoi l’hôtellerie </w:t>
            </w:r>
            <w:r w:rsidR="001D69BD" w:rsidRPr="00217220">
              <w:rPr>
                <w:rFonts w:eastAsia="Corbel" w:cs="Calibri"/>
                <w:b/>
                <w:bCs/>
                <w:color w:val="9C1C1F"/>
                <w:spacing w:val="-27"/>
                <w:sz w:val="40"/>
                <w:szCs w:val="60"/>
                <w:lang w:val="fr-FR"/>
              </w:rPr>
              <w:t>et</w:t>
            </w:r>
            <w:r w:rsidRPr="00217220">
              <w:rPr>
                <w:rFonts w:eastAsia="Corbel" w:cs="Calibri"/>
                <w:b/>
                <w:bCs/>
                <w:color w:val="9C1C1F"/>
                <w:spacing w:val="-27"/>
                <w:sz w:val="40"/>
                <w:szCs w:val="60"/>
                <w:lang w:val="fr-FR"/>
              </w:rPr>
              <w:t xml:space="preserve"> l’immobilier ?</w:t>
            </w:r>
          </w:p>
          <w:p w:rsidR="00C02D2C" w:rsidRDefault="00C02D2C" w:rsidP="00C02D2C">
            <w:pPr>
              <w:pStyle w:val="Paragraphedeliste"/>
              <w:ind w:left="117"/>
              <w:jc w:val="both"/>
              <w:rPr>
                <w:lang w:val="fr-FR"/>
              </w:rPr>
            </w:pPr>
            <w:r w:rsidRPr="00C02D2C">
              <w:rPr>
                <w:lang w:val="fr-FR"/>
              </w:rPr>
              <w:t xml:space="preserve">Dans des conditions économiques et financières perturbées depuis la crise financière de 2008, les investisseurs exigent aujourd’hui des placements structurés pour résister aux effets économiques induits. Selon l’analyse des équipes de HBC Capital, le marché de l’hôtellerie économique en croissance depuis sa création répond particulièrement bien à ces attentes. Ce positionnement est en adéquation avec la baisse des budgets alloués aux déplacements et voyages professionnels et touristiques. </w:t>
            </w:r>
          </w:p>
          <w:p w:rsidR="00C02D2C" w:rsidRPr="00C02D2C" w:rsidRDefault="00C02D2C" w:rsidP="00C02D2C">
            <w:pPr>
              <w:pStyle w:val="Paragraphedeliste"/>
              <w:ind w:left="117"/>
              <w:jc w:val="both"/>
              <w:rPr>
                <w:lang w:val="fr-FR"/>
              </w:rPr>
            </w:pPr>
          </w:p>
          <w:p w:rsidR="00C02D2C" w:rsidRDefault="00C02D2C" w:rsidP="00C02D2C">
            <w:pPr>
              <w:pStyle w:val="Paragraphedeliste"/>
              <w:spacing w:after="0" w:line="240" w:lineRule="auto"/>
              <w:ind w:left="117"/>
              <w:jc w:val="both"/>
              <w:rPr>
                <w:rFonts w:eastAsia="Corbel" w:cs="Calibri"/>
                <w:szCs w:val="24"/>
                <w:lang w:val="fr-FR"/>
              </w:rPr>
            </w:pPr>
            <w:r w:rsidRPr="00C02D2C">
              <w:rPr>
                <w:lang w:val="fr-FR"/>
              </w:rPr>
              <w:t>Le marché de l’immobilier reste quant à lui une valeur refuge en temps de crise, selon l’analyse des équipes de HBC Capita</w:t>
            </w:r>
          </w:p>
          <w:p w:rsidR="00C02D2C" w:rsidRDefault="00C02D2C" w:rsidP="00217220">
            <w:pPr>
              <w:pStyle w:val="Paragraphedeliste"/>
              <w:spacing w:after="0" w:line="240" w:lineRule="auto"/>
              <w:ind w:left="117"/>
              <w:jc w:val="both"/>
              <w:rPr>
                <w:rFonts w:eastAsia="Corbel" w:cs="Calibri"/>
                <w:szCs w:val="24"/>
                <w:lang w:val="fr-FR"/>
              </w:rPr>
            </w:pPr>
          </w:p>
          <w:p w:rsidR="001D7BC7" w:rsidRPr="00217220" w:rsidRDefault="001D7BC7" w:rsidP="00217220">
            <w:pPr>
              <w:pStyle w:val="Paragraphedeliste"/>
              <w:widowControl/>
              <w:numPr>
                <w:ilvl w:val="0"/>
                <w:numId w:val="8"/>
              </w:numPr>
              <w:autoSpaceDE w:val="0"/>
              <w:autoSpaceDN w:val="0"/>
              <w:adjustRightInd w:val="0"/>
              <w:spacing w:after="0" w:line="240" w:lineRule="auto"/>
              <w:jc w:val="both"/>
              <w:rPr>
                <w:rFonts w:cs="Calibri"/>
                <w:lang w:val="fr-FR"/>
              </w:rPr>
            </w:pPr>
            <w:r w:rsidRPr="00217220">
              <w:rPr>
                <w:rFonts w:cs="Calibri"/>
                <w:lang w:val="fr-FR"/>
              </w:rPr>
              <w:t>Un marché en croissance malgré la crise.</w:t>
            </w:r>
          </w:p>
          <w:p w:rsidR="001D7BC7" w:rsidRPr="00217220" w:rsidRDefault="001D7BC7" w:rsidP="00217220">
            <w:pPr>
              <w:pStyle w:val="Paragraphedeliste"/>
              <w:widowControl/>
              <w:numPr>
                <w:ilvl w:val="0"/>
                <w:numId w:val="8"/>
              </w:numPr>
              <w:autoSpaceDE w:val="0"/>
              <w:autoSpaceDN w:val="0"/>
              <w:adjustRightInd w:val="0"/>
              <w:spacing w:after="0" w:line="240" w:lineRule="auto"/>
              <w:jc w:val="both"/>
              <w:rPr>
                <w:rFonts w:cs="Calibri"/>
                <w:lang w:val="fr-FR"/>
              </w:rPr>
            </w:pPr>
            <w:r w:rsidRPr="00217220">
              <w:rPr>
                <w:rFonts w:cs="Calibri"/>
                <w:lang w:val="fr-FR"/>
              </w:rPr>
              <w:t xml:space="preserve">Sur 2011, la croissance cumulée du </w:t>
            </w:r>
            <w:r w:rsidR="00716A49">
              <w:rPr>
                <w:rFonts w:cs="Calibri"/>
                <w:lang w:val="fr-FR"/>
              </w:rPr>
              <w:t>nombre de nuitées atteint + 3,2</w:t>
            </w:r>
            <w:r w:rsidRPr="00217220">
              <w:rPr>
                <w:rFonts w:cs="Calibri"/>
                <w:lang w:val="fr-FR"/>
              </w:rPr>
              <w:t>% par rapport à 2010.</w:t>
            </w:r>
            <w:r w:rsidRPr="00217220">
              <w:rPr>
                <w:rFonts w:cs="Calibri"/>
                <w:i/>
                <w:lang w:val="fr-FR"/>
              </w:rPr>
              <w:t xml:space="preserve"> (source CBRE</w:t>
            </w:r>
            <w:r w:rsidR="00716A49">
              <w:rPr>
                <w:rFonts w:cs="Calibri"/>
                <w:i/>
                <w:lang w:val="fr-FR"/>
              </w:rPr>
              <w:t>).</w:t>
            </w:r>
          </w:p>
          <w:p w:rsidR="001D7BC7" w:rsidRPr="00C02D2C" w:rsidRDefault="001D7BC7" w:rsidP="00217220">
            <w:pPr>
              <w:pStyle w:val="Paragraphedeliste"/>
              <w:widowControl/>
              <w:numPr>
                <w:ilvl w:val="0"/>
                <w:numId w:val="8"/>
              </w:numPr>
              <w:spacing w:after="0" w:line="240" w:lineRule="auto"/>
              <w:jc w:val="both"/>
              <w:rPr>
                <w:rFonts w:eastAsia="Corbel" w:cs="Calibri"/>
                <w:b/>
                <w:bCs/>
                <w:color w:val="9C1C1F"/>
                <w:spacing w:val="-27"/>
                <w:sz w:val="40"/>
                <w:szCs w:val="60"/>
                <w:lang w:val="fr-FR"/>
              </w:rPr>
            </w:pPr>
            <w:r w:rsidRPr="00217220">
              <w:rPr>
                <w:rFonts w:cs="Calibri"/>
                <w:lang w:val="fr-FR"/>
              </w:rPr>
              <w:t xml:space="preserve">Secteur porteur. 1,5 milliard d’euros ont été investis dans le secteur de l’hôtellerie en France en 2011. </w:t>
            </w:r>
            <w:r w:rsidRPr="00217220">
              <w:rPr>
                <w:rFonts w:cs="Calibri"/>
                <w:i/>
                <w:lang w:val="fr-FR"/>
              </w:rPr>
              <w:t>(source CBRE)</w:t>
            </w:r>
            <w:r w:rsidR="00716A49">
              <w:rPr>
                <w:rFonts w:cs="Calibri"/>
                <w:i/>
                <w:lang w:val="fr-FR"/>
              </w:rPr>
              <w:t>.</w:t>
            </w:r>
          </w:p>
          <w:p w:rsidR="00C02D2C" w:rsidRPr="00C02D2C" w:rsidRDefault="00C02D2C" w:rsidP="00C36A72">
            <w:pPr>
              <w:pBdr>
                <w:top w:val="single" w:sz="4" w:space="1" w:color="auto"/>
                <w:left w:val="single" w:sz="4" w:space="4" w:color="auto"/>
                <w:bottom w:val="single" w:sz="4" w:space="1" w:color="auto"/>
                <w:right w:val="single" w:sz="4" w:space="4" w:color="auto"/>
              </w:pBdr>
              <w:shd w:val="clear" w:color="auto" w:fill="D9D9D9" w:themeFill="background1" w:themeFillShade="D9"/>
              <w:ind w:left="1080"/>
              <w:jc w:val="center"/>
              <w:rPr>
                <w:rFonts w:eastAsia="Corbel" w:cs="Calibri"/>
                <w:b/>
                <w:bCs/>
                <w:color w:val="9C1C1F"/>
                <w:spacing w:val="-27"/>
                <w:sz w:val="40"/>
                <w:szCs w:val="60"/>
                <w:lang w:val="fr-FR"/>
              </w:rPr>
            </w:pPr>
          </w:p>
        </w:tc>
      </w:tr>
    </w:tbl>
    <w:p w:rsidR="00772F5F" w:rsidRDefault="00772F5F" w:rsidP="00772F5F">
      <w:pPr>
        <w:pStyle w:val="Paragraphedeliste"/>
        <w:widowControl/>
        <w:ind w:left="1440"/>
        <w:jc w:val="both"/>
        <w:rPr>
          <w:rFonts w:cs="Calibri"/>
          <w:lang w:val="fr-FR"/>
        </w:rPr>
      </w:pPr>
    </w:p>
    <w:p w:rsidR="002710FC" w:rsidRPr="00B150A4" w:rsidRDefault="002710FC" w:rsidP="002710FC">
      <w:pPr>
        <w:spacing w:after="0" w:line="240" w:lineRule="auto"/>
        <w:ind w:left="117" w:right="2268"/>
        <w:jc w:val="both"/>
        <w:rPr>
          <w:rFonts w:eastAsia="Corbel" w:cs="Calibri"/>
          <w:b/>
          <w:bCs/>
          <w:color w:val="9C1C1F"/>
          <w:spacing w:val="-27"/>
          <w:sz w:val="40"/>
          <w:szCs w:val="60"/>
          <w:lang w:val="fr-FR"/>
        </w:rPr>
      </w:pPr>
      <w:r w:rsidRPr="00B150A4">
        <w:rPr>
          <w:rFonts w:eastAsia="Corbel" w:cs="Calibri"/>
          <w:b/>
          <w:bCs/>
          <w:color w:val="9C1C1F"/>
          <w:spacing w:val="-27"/>
          <w:sz w:val="40"/>
          <w:szCs w:val="60"/>
          <w:lang w:val="fr-FR"/>
        </w:rPr>
        <w:t>Un partenariat avec LOUVRE HOTELS GROUP</w:t>
      </w:r>
    </w:p>
    <w:p w:rsidR="0007277F" w:rsidRPr="0007277F" w:rsidRDefault="0007277F" w:rsidP="00C02D2C">
      <w:pPr>
        <w:jc w:val="both"/>
        <w:rPr>
          <w:lang w:val="fr-FR"/>
        </w:rPr>
      </w:pPr>
      <w:r w:rsidRPr="0007277F">
        <w:rPr>
          <w:lang w:val="fr-FR"/>
        </w:rPr>
        <w:t>Pour l’exploitation des investissements hôteliers, les sociétés  du portefeuille  interviendront en partenariat avec un opérateur hôtelier – LOUVRE HOTEL</w:t>
      </w:r>
      <w:r>
        <w:rPr>
          <w:lang w:val="fr-FR"/>
        </w:rPr>
        <w:t>S</w:t>
      </w:r>
      <w:r w:rsidRPr="0007277F">
        <w:rPr>
          <w:lang w:val="fr-FR"/>
        </w:rPr>
        <w:t xml:space="preserve"> GROUP – dans le cadre d’un accord de franchise</w:t>
      </w:r>
      <w:r>
        <w:rPr>
          <w:lang w:val="fr-FR"/>
        </w:rPr>
        <w:t xml:space="preserve"> (</w:t>
      </w:r>
      <w:r w:rsidR="005115F0" w:rsidRPr="001D69BD">
        <w:rPr>
          <w:rFonts w:eastAsia="Corbel" w:cs="Calibri"/>
          <w:szCs w:val="24"/>
          <w:lang w:val="fr-FR"/>
        </w:rPr>
        <w:t xml:space="preserve">Louvre </w:t>
      </w:r>
      <w:proofErr w:type="spellStart"/>
      <w:r w:rsidR="005115F0" w:rsidRPr="001D69BD">
        <w:rPr>
          <w:rFonts w:eastAsia="Corbel" w:cs="Calibri"/>
          <w:szCs w:val="24"/>
          <w:lang w:val="fr-FR"/>
        </w:rPr>
        <w:t>Hotels</w:t>
      </w:r>
      <w:proofErr w:type="spellEnd"/>
      <w:r w:rsidR="005115F0" w:rsidRPr="001D69BD">
        <w:rPr>
          <w:rFonts w:eastAsia="Corbel" w:cs="Calibri"/>
          <w:szCs w:val="24"/>
          <w:lang w:val="fr-FR"/>
        </w:rPr>
        <w:t xml:space="preserve"> Group</w:t>
      </w:r>
      <w:r w:rsidR="005115F0">
        <w:rPr>
          <w:rFonts w:eastAsia="Corbel" w:cs="Calibri"/>
          <w:szCs w:val="24"/>
          <w:lang w:val="fr-FR"/>
        </w:rPr>
        <w:t>,</w:t>
      </w:r>
      <w:r w:rsidR="005115F0" w:rsidRPr="001D69BD">
        <w:rPr>
          <w:rFonts w:eastAsia="Corbel" w:cs="Calibri"/>
          <w:szCs w:val="24"/>
          <w:lang w:val="fr-FR"/>
        </w:rPr>
        <w:t xml:space="preserve"> 2</w:t>
      </w:r>
      <w:r w:rsidR="005115F0" w:rsidRPr="00716A49">
        <w:rPr>
          <w:rFonts w:eastAsia="Corbel" w:cs="Calibri"/>
          <w:szCs w:val="24"/>
          <w:vertAlign w:val="superscript"/>
          <w:lang w:val="fr-FR"/>
        </w:rPr>
        <w:t>ème</w:t>
      </w:r>
      <w:r w:rsidR="005115F0">
        <w:rPr>
          <w:rFonts w:eastAsia="Corbel" w:cs="Calibri"/>
          <w:szCs w:val="24"/>
          <w:lang w:val="fr-FR"/>
        </w:rPr>
        <w:t xml:space="preserve"> opérateur d’Europe, </w:t>
      </w:r>
      <w:r w:rsidR="005115F0" w:rsidRPr="001D69BD">
        <w:rPr>
          <w:rFonts w:eastAsia="Corbel" w:cs="Calibri"/>
          <w:szCs w:val="24"/>
          <w:lang w:val="fr-FR"/>
        </w:rPr>
        <w:t>plus de 1000 hôtels dans le monde</w:t>
      </w:r>
      <w:r w:rsidR="005115F0">
        <w:rPr>
          <w:rFonts w:eastAsia="Corbel" w:cs="Calibri"/>
          <w:szCs w:val="24"/>
          <w:lang w:val="fr-FR"/>
        </w:rPr>
        <w:t>)</w:t>
      </w:r>
      <w:r w:rsidRPr="0007277F">
        <w:rPr>
          <w:lang w:val="fr-FR"/>
        </w:rPr>
        <w:t>.</w:t>
      </w:r>
    </w:p>
    <w:p w:rsidR="002710FC" w:rsidRPr="00716A49" w:rsidRDefault="002710FC" w:rsidP="002710FC">
      <w:pPr>
        <w:pStyle w:val="Paragraphedeliste"/>
        <w:numPr>
          <w:ilvl w:val="0"/>
          <w:numId w:val="3"/>
        </w:numPr>
        <w:spacing w:after="0" w:line="349" w:lineRule="exact"/>
        <w:ind w:right="-20"/>
        <w:jc w:val="both"/>
        <w:rPr>
          <w:rFonts w:eastAsia="Corbel" w:cs="Calibri"/>
          <w:b/>
          <w:szCs w:val="24"/>
          <w:lang w:val="fr-FR"/>
        </w:rPr>
      </w:pPr>
      <w:r w:rsidRPr="002710FC">
        <w:rPr>
          <w:rFonts w:eastAsia="Corbel" w:cs="Calibri"/>
          <w:b/>
          <w:bCs/>
          <w:color w:val="000000"/>
          <w:position w:val="2"/>
          <w:szCs w:val="24"/>
          <w:lang w:val="fr-FR"/>
        </w:rPr>
        <w:t>Contrats de franchise sous enseignes : Pr</w:t>
      </w:r>
      <w:r w:rsidR="00716A49">
        <w:rPr>
          <w:rFonts w:eastAsia="Corbel" w:cs="Calibri"/>
          <w:b/>
          <w:bCs/>
          <w:color w:val="000000"/>
          <w:position w:val="2"/>
          <w:szCs w:val="24"/>
          <w:lang w:val="fr-FR"/>
        </w:rPr>
        <w:t>emière Classe **, Campanile ***</w:t>
      </w:r>
      <w:r w:rsidR="00716A49">
        <w:rPr>
          <w:rFonts w:eastAsia="Corbel" w:cs="Calibri"/>
          <w:b/>
          <w:bCs/>
          <w:color w:val="000000"/>
          <w:position w:val="2"/>
          <w:szCs w:val="24"/>
          <w:lang w:val="fr-FR"/>
        </w:rPr>
        <w:br/>
      </w:r>
      <w:r w:rsidRPr="002710FC">
        <w:rPr>
          <w:rFonts w:eastAsia="Corbel" w:cs="Calibri"/>
          <w:b/>
          <w:bCs/>
          <w:color w:val="000000"/>
          <w:position w:val="2"/>
          <w:szCs w:val="24"/>
          <w:lang w:val="fr-FR"/>
        </w:rPr>
        <w:t xml:space="preserve">et </w:t>
      </w:r>
      <w:proofErr w:type="spellStart"/>
      <w:r w:rsidRPr="002710FC">
        <w:rPr>
          <w:rFonts w:eastAsia="Corbel" w:cs="Calibri"/>
          <w:b/>
          <w:bCs/>
          <w:color w:val="000000"/>
          <w:position w:val="2"/>
          <w:szCs w:val="24"/>
          <w:lang w:val="fr-FR"/>
        </w:rPr>
        <w:t>Tulip</w:t>
      </w:r>
      <w:proofErr w:type="spellEnd"/>
      <w:r w:rsidRPr="002710FC">
        <w:rPr>
          <w:rFonts w:eastAsia="Corbel" w:cs="Calibri"/>
          <w:b/>
          <w:bCs/>
          <w:color w:val="000000"/>
          <w:position w:val="2"/>
          <w:szCs w:val="24"/>
          <w:lang w:val="fr-FR"/>
        </w:rPr>
        <w:t xml:space="preserve"> Inn ***</w:t>
      </w:r>
      <w:r w:rsidR="00716A49">
        <w:rPr>
          <w:rFonts w:eastAsia="Corbel" w:cs="Calibri"/>
          <w:b/>
          <w:bCs/>
          <w:color w:val="000000"/>
          <w:position w:val="2"/>
          <w:szCs w:val="24"/>
          <w:lang w:val="fr-FR"/>
        </w:rPr>
        <w:t>.</w:t>
      </w:r>
    </w:p>
    <w:p w:rsidR="00716A49" w:rsidRPr="00716A49" w:rsidRDefault="00716A49" w:rsidP="002710FC">
      <w:pPr>
        <w:pStyle w:val="Paragraphedeliste"/>
        <w:numPr>
          <w:ilvl w:val="0"/>
          <w:numId w:val="3"/>
        </w:numPr>
        <w:spacing w:after="0" w:line="349" w:lineRule="exact"/>
        <w:ind w:right="-20"/>
        <w:jc w:val="both"/>
        <w:rPr>
          <w:rFonts w:eastAsia="Corbel" w:cs="Calibri"/>
          <w:b/>
          <w:szCs w:val="24"/>
          <w:lang w:val="fr-FR"/>
        </w:rPr>
      </w:pPr>
      <w:r>
        <w:rPr>
          <w:rFonts w:eastAsia="Corbel" w:cs="Calibri"/>
          <w:b/>
          <w:bCs/>
          <w:color w:val="000000"/>
          <w:position w:val="2"/>
          <w:szCs w:val="24"/>
          <w:lang w:val="fr-FR"/>
        </w:rPr>
        <w:t>Contrats</w:t>
      </w:r>
      <w:r w:rsidRPr="002710FC">
        <w:rPr>
          <w:rFonts w:eastAsia="Corbel" w:cs="Calibri"/>
          <w:b/>
          <w:bCs/>
          <w:color w:val="000000"/>
          <w:position w:val="2"/>
          <w:szCs w:val="24"/>
          <w:lang w:val="fr-FR"/>
        </w:rPr>
        <w:t xml:space="preserve"> d’assistante technique</w:t>
      </w:r>
      <w:r>
        <w:rPr>
          <w:rFonts w:eastAsia="Corbel" w:cs="Calibri"/>
          <w:b/>
          <w:bCs/>
          <w:color w:val="000000"/>
          <w:position w:val="2"/>
          <w:szCs w:val="24"/>
          <w:lang w:val="fr-FR"/>
        </w:rPr>
        <w:t>.</w:t>
      </w:r>
    </w:p>
    <w:p w:rsidR="00716A49" w:rsidRPr="002710FC" w:rsidRDefault="00716A49" w:rsidP="002710FC">
      <w:pPr>
        <w:pStyle w:val="Paragraphedeliste"/>
        <w:numPr>
          <w:ilvl w:val="0"/>
          <w:numId w:val="3"/>
        </w:numPr>
        <w:spacing w:after="0" w:line="349" w:lineRule="exact"/>
        <w:ind w:right="-20"/>
        <w:jc w:val="both"/>
        <w:rPr>
          <w:rFonts w:eastAsia="Corbel" w:cs="Calibri"/>
          <w:b/>
          <w:szCs w:val="24"/>
          <w:lang w:val="fr-FR"/>
        </w:rPr>
      </w:pPr>
      <w:r>
        <w:rPr>
          <w:rFonts w:eastAsia="Corbel" w:cs="Calibri"/>
          <w:b/>
          <w:szCs w:val="24"/>
          <w:lang w:val="fr-FR"/>
        </w:rPr>
        <w:t>Implantation de plus de 12 hôtels dans 6 régions françaises d’outremer.</w:t>
      </w:r>
    </w:p>
    <w:p w:rsidR="002710FC" w:rsidRDefault="002710FC" w:rsidP="00772F5F">
      <w:pPr>
        <w:pStyle w:val="Paragraphedeliste"/>
        <w:widowControl/>
        <w:ind w:left="1440"/>
        <w:jc w:val="both"/>
        <w:rPr>
          <w:rFonts w:cs="Calibri"/>
          <w:lang w:val="fr-FR"/>
        </w:rPr>
      </w:pPr>
    </w:p>
    <w:p w:rsidR="00772F5F" w:rsidRDefault="00772F5F" w:rsidP="003A6B2F">
      <w:pPr>
        <w:spacing w:after="0" w:line="240" w:lineRule="auto"/>
        <w:ind w:left="117" w:right="1701"/>
        <w:jc w:val="both"/>
        <w:rPr>
          <w:rFonts w:eastAsia="Corbel" w:cs="Calibri"/>
          <w:b/>
          <w:bCs/>
          <w:color w:val="9C1C1F"/>
          <w:spacing w:val="-27"/>
          <w:sz w:val="40"/>
          <w:szCs w:val="60"/>
          <w:lang w:val="fr-FR"/>
        </w:rPr>
      </w:pPr>
      <w:r w:rsidRPr="001D69BD">
        <w:rPr>
          <w:rFonts w:eastAsia="Corbel" w:cs="Calibri"/>
          <w:b/>
          <w:bCs/>
          <w:color w:val="9C1C1F"/>
          <w:spacing w:val="-27"/>
          <w:sz w:val="40"/>
          <w:szCs w:val="60"/>
          <w:lang w:val="fr-FR"/>
        </w:rPr>
        <w:t xml:space="preserve">Focus sur l’hôtellerie économique dans les régions françaises </w:t>
      </w:r>
      <w:r w:rsidR="001D7BC7" w:rsidRPr="001D69BD">
        <w:rPr>
          <w:rFonts w:eastAsia="Corbel" w:cs="Calibri"/>
          <w:b/>
          <w:bCs/>
          <w:color w:val="9C1C1F"/>
          <w:spacing w:val="-27"/>
          <w:sz w:val="40"/>
          <w:szCs w:val="60"/>
          <w:lang w:val="fr-FR"/>
        </w:rPr>
        <w:t>ultramarines</w:t>
      </w:r>
    </w:p>
    <w:p w:rsidR="00C02D2C" w:rsidRPr="00C02D2C" w:rsidRDefault="00C02D2C" w:rsidP="00C02D2C">
      <w:pPr>
        <w:jc w:val="both"/>
        <w:rPr>
          <w:lang w:val="fr-FR"/>
        </w:rPr>
      </w:pPr>
      <w:r w:rsidRPr="00C02D2C">
        <w:rPr>
          <w:lang w:val="fr-FR"/>
        </w:rPr>
        <w:t xml:space="preserve">Le marché des hôtels économiques normés et standardisés sous enseigne nationale ou </w:t>
      </w:r>
      <w:r w:rsidRPr="00C02D2C">
        <w:rPr>
          <w:lang w:val="fr-FR"/>
        </w:rPr>
        <w:lastRenderedPageBreak/>
        <w:t>internationale est peu développé dans les DOM-COM. Ces régions sont équipées principalement d’hôtels balnéaires à vocation touristique essentiellement implantés sur des lieux généralement éloignés des centres économiques. Depuis une vingtaine d’années, le développement important des populations et la centralisation des zones commerciales et industrielles sur les capitales administratives ont généré d’importants embouteillages qui compliquent les accès à ces zones. L’offre hôtelière n’est plus en adéquation avec les attentes des visiteurs professionnels. La création d’une chaine d’hôtels économiques est la réponse à ce besoin et bénéficie de l’appui de la puissance publique et des instances régionales.</w:t>
      </w:r>
    </w:p>
    <w:p w:rsidR="00C02D2C" w:rsidRPr="001D69BD" w:rsidRDefault="00C02D2C" w:rsidP="003A6B2F">
      <w:pPr>
        <w:spacing w:after="0" w:line="240" w:lineRule="auto"/>
        <w:ind w:left="117" w:right="1701"/>
        <w:jc w:val="both"/>
        <w:rPr>
          <w:rFonts w:eastAsia="Corbel" w:cs="Calibri"/>
          <w:b/>
          <w:bCs/>
          <w:color w:val="9C1C1F"/>
          <w:spacing w:val="-27"/>
          <w:sz w:val="40"/>
          <w:szCs w:val="60"/>
          <w:lang w:val="fr-FR"/>
        </w:rPr>
      </w:pPr>
    </w:p>
    <w:p w:rsidR="00772F5F" w:rsidRPr="00471704" w:rsidRDefault="00772F5F" w:rsidP="00772F5F">
      <w:pPr>
        <w:pStyle w:val="Paragraphedeliste"/>
        <w:widowControl/>
        <w:numPr>
          <w:ilvl w:val="0"/>
          <w:numId w:val="8"/>
        </w:numPr>
        <w:jc w:val="both"/>
        <w:rPr>
          <w:rFonts w:cs="Calibri"/>
          <w:b/>
          <w:lang w:val="fr-FR"/>
        </w:rPr>
      </w:pPr>
      <w:r w:rsidRPr="00471704">
        <w:rPr>
          <w:rFonts w:cs="Calibri"/>
          <w:b/>
          <w:lang w:val="fr-FR"/>
        </w:rPr>
        <w:t>Absence d’hôtels économiques standardisés et normés dans ces régions.</w:t>
      </w:r>
    </w:p>
    <w:p w:rsidR="00772F5F" w:rsidRPr="000E0E98" w:rsidRDefault="00772F5F" w:rsidP="00772F5F">
      <w:pPr>
        <w:pStyle w:val="Paragraphedeliste"/>
        <w:widowControl/>
        <w:numPr>
          <w:ilvl w:val="0"/>
          <w:numId w:val="8"/>
        </w:numPr>
        <w:jc w:val="both"/>
        <w:rPr>
          <w:rFonts w:cs="Calibri"/>
          <w:b/>
          <w:lang w:val="fr-FR"/>
        </w:rPr>
      </w:pPr>
      <w:r w:rsidRPr="000E0E98">
        <w:rPr>
          <w:rFonts w:cs="Calibri"/>
          <w:b/>
          <w:lang w:val="fr-FR"/>
        </w:rPr>
        <w:t>Structures hôtelières existantes inadaptées aux besoins du marché professionnel</w:t>
      </w:r>
      <w:r w:rsidR="000E0E98">
        <w:rPr>
          <w:rFonts w:cs="Calibri"/>
          <w:b/>
          <w:lang w:val="fr-FR"/>
        </w:rPr>
        <w:br/>
      </w:r>
      <w:r w:rsidR="000E0E98" w:rsidRPr="000E0E98">
        <w:rPr>
          <w:rFonts w:cs="Calibri"/>
          <w:b/>
          <w:lang w:val="fr-FR"/>
        </w:rPr>
        <w:t>et co</w:t>
      </w:r>
      <w:r w:rsidR="000E0E98">
        <w:rPr>
          <w:rFonts w:cs="Calibri"/>
          <w:b/>
          <w:lang w:val="fr-FR"/>
        </w:rPr>
        <w:t>û</w:t>
      </w:r>
      <w:r w:rsidR="000E0E98" w:rsidRPr="000E0E98">
        <w:rPr>
          <w:rFonts w:cs="Calibri"/>
          <w:b/>
          <w:lang w:val="fr-FR"/>
        </w:rPr>
        <w:t xml:space="preserve">teuses : </w:t>
      </w:r>
      <w:r w:rsidR="000E0E98">
        <w:rPr>
          <w:rFonts w:cs="Calibri"/>
          <w:b/>
          <w:lang w:val="fr-FR"/>
        </w:rPr>
        <w:t>p</w:t>
      </w:r>
      <w:r w:rsidRPr="000E0E98">
        <w:rPr>
          <w:rFonts w:cs="Calibri"/>
          <w:b/>
          <w:lang w:val="fr-FR"/>
        </w:rPr>
        <w:t>rix des nuitées proposées par ces nouvea</w:t>
      </w:r>
      <w:r w:rsidR="00716A49" w:rsidRPr="000E0E98">
        <w:rPr>
          <w:rFonts w:cs="Calibri"/>
          <w:b/>
          <w:lang w:val="fr-FR"/>
        </w:rPr>
        <w:t>ux hôtels inférieurs de</w:t>
      </w:r>
      <w:r w:rsidR="000E0E98">
        <w:rPr>
          <w:rFonts w:cs="Calibri"/>
          <w:b/>
          <w:lang w:val="fr-FR"/>
        </w:rPr>
        <w:br/>
      </w:r>
      <w:r w:rsidR="00716A49" w:rsidRPr="000E0E98">
        <w:rPr>
          <w:rFonts w:cs="Calibri"/>
          <w:b/>
          <w:lang w:val="fr-FR"/>
        </w:rPr>
        <w:t>30 à 50</w:t>
      </w:r>
      <w:r w:rsidRPr="000E0E98">
        <w:rPr>
          <w:rFonts w:cs="Calibri"/>
          <w:b/>
          <w:lang w:val="fr-FR"/>
        </w:rPr>
        <w:t>% aux prix pratiqués localement.</w:t>
      </w:r>
    </w:p>
    <w:p w:rsidR="000E0E98" w:rsidRPr="00471704" w:rsidRDefault="000E0E98" w:rsidP="00772F5F">
      <w:pPr>
        <w:pStyle w:val="Paragraphedeliste"/>
        <w:widowControl/>
        <w:numPr>
          <w:ilvl w:val="0"/>
          <w:numId w:val="8"/>
        </w:numPr>
        <w:jc w:val="both"/>
        <w:rPr>
          <w:rFonts w:cs="Calibri"/>
          <w:b/>
          <w:lang w:val="fr-FR"/>
        </w:rPr>
      </w:pPr>
      <w:r w:rsidRPr="002710FC">
        <w:rPr>
          <w:rFonts w:eastAsia="Corbel" w:cs="Calibri"/>
          <w:b/>
          <w:bCs/>
          <w:color w:val="000000"/>
          <w:position w:val="2"/>
          <w:szCs w:val="24"/>
          <w:lang w:val="fr-FR"/>
        </w:rPr>
        <w:t>Programmes d’investissements bénéficiant d’avantages fiscaux, sociaux et de</w:t>
      </w:r>
      <w:r>
        <w:rPr>
          <w:rFonts w:eastAsia="Corbel" w:cs="Calibri"/>
          <w:b/>
          <w:bCs/>
          <w:color w:val="000000"/>
          <w:position w:val="2"/>
          <w:szCs w:val="24"/>
          <w:lang w:val="fr-FR"/>
        </w:rPr>
        <w:t xml:space="preserve"> subventions.</w:t>
      </w:r>
    </w:p>
    <w:p w:rsidR="00772F5F" w:rsidRDefault="00772F5F" w:rsidP="00772F5F">
      <w:pPr>
        <w:pStyle w:val="Paragraphedeliste"/>
        <w:widowControl/>
        <w:ind w:left="1440"/>
        <w:jc w:val="both"/>
        <w:rPr>
          <w:rFonts w:cs="Calibri"/>
          <w:lang w:val="fr-FR"/>
        </w:rPr>
      </w:pPr>
    </w:p>
    <w:p w:rsidR="009365EB" w:rsidRPr="001D69BD" w:rsidRDefault="009365EB" w:rsidP="00D57B54">
      <w:pPr>
        <w:spacing w:after="0" w:line="240" w:lineRule="auto"/>
        <w:ind w:left="117" w:right="1275"/>
        <w:jc w:val="both"/>
        <w:rPr>
          <w:rFonts w:eastAsia="Corbel" w:cs="Calibri"/>
          <w:b/>
          <w:bCs/>
          <w:color w:val="9C1C1F"/>
          <w:spacing w:val="-27"/>
          <w:sz w:val="40"/>
          <w:szCs w:val="60"/>
          <w:lang w:val="fr-FR"/>
        </w:rPr>
      </w:pPr>
      <w:r w:rsidRPr="001D69BD">
        <w:rPr>
          <w:rFonts w:eastAsia="Corbel" w:cs="Calibri"/>
          <w:b/>
          <w:bCs/>
          <w:color w:val="9C1C1F"/>
          <w:spacing w:val="-27"/>
          <w:sz w:val="40"/>
          <w:szCs w:val="60"/>
          <w:lang w:val="fr-FR"/>
        </w:rPr>
        <w:t>Immobilier, valeur refuge pour l’investisseur</w:t>
      </w:r>
      <w:r w:rsidR="009F3828">
        <w:rPr>
          <w:rFonts w:eastAsia="Corbel" w:cs="Calibri"/>
          <w:b/>
          <w:bCs/>
          <w:color w:val="9C1C1F"/>
          <w:spacing w:val="-27"/>
          <w:sz w:val="40"/>
          <w:szCs w:val="60"/>
          <w:lang w:val="fr-FR"/>
        </w:rPr>
        <w:t xml:space="preserve"> (selon l’analyse d’HBC CAPITAL)</w:t>
      </w:r>
    </w:p>
    <w:p w:rsidR="009365EB" w:rsidRPr="001D69BD" w:rsidRDefault="009365EB" w:rsidP="009365EB">
      <w:pPr>
        <w:spacing w:before="2" w:after="0" w:line="160" w:lineRule="exact"/>
        <w:rPr>
          <w:rFonts w:cs="Calibri"/>
          <w:sz w:val="16"/>
          <w:szCs w:val="16"/>
          <w:lang w:val="fr-FR"/>
        </w:rPr>
      </w:pPr>
    </w:p>
    <w:p w:rsidR="00716A49" w:rsidRDefault="00716A49" w:rsidP="009365EB">
      <w:pPr>
        <w:pStyle w:val="Paragraphedeliste"/>
        <w:widowControl/>
        <w:numPr>
          <w:ilvl w:val="0"/>
          <w:numId w:val="8"/>
        </w:numPr>
        <w:jc w:val="both"/>
        <w:rPr>
          <w:rFonts w:cs="Calibri"/>
          <w:b/>
          <w:lang w:val="fr-FR"/>
        </w:rPr>
      </w:pPr>
      <w:r>
        <w:rPr>
          <w:rFonts w:cs="Calibri"/>
          <w:b/>
          <w:lang w:val="fr-FR"/>
        </w:rPr>
        <w:t>Un investissement dans la pierre.</w:t>
      </w:r>
    </w:p>
    <w:p w:rsidR="001D69BD" w:rsidRPr="00471704" w:rsidRDefault="001D69BD" w:rsidP="009365EB">
      <w:pPr>
        <w:pStyle w:val="Paragraphedeliste"/>
        <w:widowControl/>
        <w:numPr>
          <w:ilvl w:val="0"/>
          <w:numId w:val="8"/>
        </w:numPr>
        <w:jc w:val="both"/>
        <w:rPr>
          <w:rFonts w:cs="Calibri"/>
          <w:b/>
          <w:lang w:val="fr-FR"/>
        </w:rPr>
      </w:pPr>
      <w:r w:rsidRPr="00471704">
        <w:rPr>
          <w:rFonts w:cs="Calibri"/>
          <w:b/>
          <w:lang w:val="fr-FR"/>
        </w:rPr>
        <w:t>Une réponse à l’incertitude des marchés financiers et de la monnaie</w:t>
      </w:r>
      <w:r w:rsidR="00716A49">
        <w:rPr>
          <w:rFonts w:cs="Calibri"/>
          <w:b/>
          <w:lang w:val="fr-FR"/>
        </w:rPr>
        <w:t xml:space="preserve"> et des risques d’inflation</w:t>
      </w:r>
      <w:r w:rsidRPr="00471704">
        <w:rPr>
          <w:rFonts w:cs="Calibri"/>
          <w:b/>
          <w:lang w:val="fr-FR"/>
        </w:rPr>
        <w:t>.</w:t>
      </w:r>
    </w:p>
    <w:p w:rsidR="00D57B54" w:rsidRPr="00716A49" w:rsidRDefault="009365EB" w:rsidP="00716A49">
      <w:pPr>
        <w:pStyle w:val="Paragraphedeliste"/>
        <w:widowControl/>
        <w:numPr>
          <w:ilvl w:val="0"/>
          <w:numId w:val="8"/>
        </w:numPr>
        <w:jc w:val="both"/>
        <w:rPr>
          <w:rFonts w:cs="Calibri"/>
          <w:b/>
          <w:lang w:val="fr-FR"/>
        </w:rPr>
      </w:pPr>
      <w:r w:rsidRPr="00471704">
        <w:rPr>
          <w:rFonts w:cs="Calibri"/>
          <w:b/>
          <w:lang w:val="fr-FR"/>
        </w:rPr>
        <w:t>Des emplacements exceptionnels (centres villes, aéroports, zones commerciales).</w:t>
      </w:r>
    </w:p>
    <w:p w:rsidR="002A6D91" w:rsidRPr="001D69BD" w:rsidRDefault="002A6D91" w:rsidP="00D57B54">
      <w:pPr>
        <w:spacing w:after="0" w:line="240" w:lineRule="auto"/>
        <w:ind w:left="117" w:right="1275"/>
        <w:jc w:val="both"/>
        <w:rPr>
          <w:rFonts w:eastAsia="Corbel" w:cs="Calibri"/>
          <w:b/>
          <w:bCs/>
          <w:color w:val="9C1C1F"/>
          <w:spacing w:val="-27"/>
          <w:sz w:val="40"/>
          <w:szCs w:val="60"/>
          <w:lang w:val="fr-FR"/>
        </w:rPr>
      </w:pPr>
      <w:r w:rsidRPr="001D69BD">
        <w:rPr>
          <w:rFonts w:eastAsia="Corbel" w:cs="Calibri"/>
          <w:b/>
          <w:bCs/>
          <w:color w:val="9C1C1F"/>
          <w:spacing w:val="-27"/>
          <w:sz w:val="40"/>
          <w:szCs w:val="60"/>
          <w:lang w:val="fr-FR"/>
        </w:rPr>
        <w:t xml:space="preserve">Trois sources potentielles de gains : </w:t>
      </w:r>
    </w:p>
    <w:p w:rsidR="00C36A72" w:rsidRPr="00C36A72" w:rsidRDefault="00C36A72" w:rsidP="00C36A72">
      <w:pPr>
        <w:jc w:val="both"/>
        <w:rPr>
          <w:lang w:val="fr-FR"/>
        </w:rPr>
      </w:pPr>
      <w:r w:rsidRPr="00C36A72">
        <w:rPr>
          <w:lang w:val="fr-FR"/>
        </w:rPr>
        <w:t>Une double plus-value potentielle hôtelière et immobilière assortie d’un rendement annuel.</w:t>
      </w:r>
      <w:r>
        <w:rPr>
          <w:lang w:val="fr-FR"/>
        </w:rPr>
        <w:t xml:space="preserve"> </w:t>
      </w:r>
      <w:r w:rsidRPr="00C36A72">
        <w:rPr>
          <w:lang w:val="fr-FR"/>
        </w:rPr>
        <w:t>La création de valeur pour chacun des hôtels dans lesquels HBC CAPITAL prendra des participations proviendra de la valorisation des murs de l’hôtel, de la valorisation de son fonds de commerce et de la rentabilité annuelle de l’exploitation. L’activité de location de meublés de tourisme bénéficie des mêmes synergies.</w:t>
      </w:r>
    </w:p>
    <w:p w:rsidR="00C36A72" w:rsidRPr="00C36A72" w:rsidRDefault="00C36A72" w:rsidP="00C36A72">
      <w:pPr>
        <w:jc w:val="both"/>
        <w:rPr>
          <w:lang w:val="fr-FR"/>
        </w:rPr>
      </w:pPr>
      <w:r w:rsidRPr="00C36A72">
        <w:rPr>
          <w:lang w:val="fr-FR"/>
        </w:rPr>
        <w:t>La création de valeur pour l’activité de promotion immobilière (construction vente des immeubles) proviendra des marges dégagées par les opérations de promotion</w:t>
      </w:r>
    </w:p>
    <w:p w:rsidR="00C36A72" w:rsidRPr="00C36A72" w:rsidRDefault="00C36A72" w:rsidP="00C36A72">
      <w:pPr>
        <w:pStyle w:val="Paragraphedeliste"/>
        <w:widowControl/>
        <w:numPr>
          <w:ilvl w:val="0"/>
          <w:numId w:val="15"/>
        </w:numPr>
        <w:jc w:val="both"/>
        <w:rPr>
          <w:lang w:val="fr-FR"/>
        </w:rPr>
      </w:pPr>
      <w:r w:rsidRPr="00C36A72">
        <w:rPr>
          <w:lang w:val="fr-FR"/>
        </w:rPr>
        <w:t>Trois sources potentielles de gains, assorties toutefois d’un risque de perte en capital</w:t>
      </w:r>
    </w:p>
    <w:p w:rsidR="00C36A72" w:rsidRPr="00C36A72" w:rsidRDefault="00C36A72" w:rsidP="00C36A72">
      <w:pPr>
        <w:pStyle w:val="Paragraphedeliste"/>
        <w:widowControl/>
        <w:numPr>
          <w:ilvl w:val="0"/>
          <w:numId w:val="15"/>
        </w:numPr>
        <w:jc w:val="both"/>
        <w:rPr>
          <w:lang w:val="fr-FR"/>
        </w:rPr>
      </w:pPr>
      <w:r w:rsidRPr="00C36A72">
        <w:rPr>
          <w:lang w:val="fr-FR"/>
        </w:rPr>
        <w:t>Atténuation de risques du fait de l’investissement diversifié dans les murs et dans le fonds de commerce</w:t>
      </w:r>
    </w:p>
    <w:p w:rsidR="00C36A72" w:rsidRPr="00C36A72" w:rsidRDefault="00C36A72" w:rsidP="00C36A72">
      <w:pPr>
        <w:pStyle w:val="Paragraphedeliste"/>
        <w:widowControl/>
        <w:numPr>
          <w:ilvl w:val="0"/>
          <w:numId w:val="15"/>
        </w:numPr>
        <w:jc w:val="both"/>
        <w:rPr>
          <w:lang w:val="fr-FR"/>
        </w:rPr>
      </w:pPr>
      <w:r w:rsidRPr="00C36A72">
        <w:rPr>
          <w:lang w:val="fr-FR"/>
        </w:rPr>
        <w:t>Un recours à un financement peu couteux</w:t>
      </w:r>
    </w:p>
    <w:p w:rsidR="00712AB9" w:rsidRDefault="00712AB9" w:rsidP="002A6D91">
      <w:pPr>
        <w:spacing w:before="23" w:after="0" w:line="240" w:lineRule="auto"/>
        <w:ind w:left="378" w:right="-20"/>
        <w:rPr>
          <w:rFonts w:eastAsia="Corbel" w:cs="Calibri"/>
          <w:lang w:val="fr-FR"/>
        </w:rPr>
      </w:pPr>
    </w:p>
    <w:p w:rsidR="006428FC" w:rsidRPr="00C36A72" w:rsidRDefault="006428FC" w:rsidP="00C36A72">
      <w:pPr>
        <w:widowControl/>
        <w:pBdr>
          <w:top w:val="single" w:sz="4" w:space="1" w:color="auto"/>
          <w:left w:val="single" w:sz="4" w:space="4" w:color="auto"/>
          <w:bottom w:val="single" w:sz="4" w:space="1" w:color="auto"/>
          <w:right w:val="single" w:sz="4" w:space="4" w:color="auto"/>
        </w:pBdr>
        <w:shd w:val="clear" w:color="auto" w:fill="808080" w:themeFill="background1" w:themeFillShade="80"/>
        <w:ind w:left="1080"/>
        <w:jc w:val="center"/>
        <w:rPr>
          <w:rFonts w:cs="Calibri"/>
          <w:b/>
          <w:color w:val="FFFFFF" w:themeColor="background1"/>
          <w:lang w:val="fr-FR"/>
        </w:rPr>
      </w:pPr>
      <w:r w:rsidRPr="00C36A72">
        <w:rPr>
          <w:rFonts w:cs="Calibri"/>
          <w:b/>
          <w:color w:val="FFFFFF" w:themeColor="background1"/>
          <w:lang w:val="fr-FR"/>
        </w:rPr>
        <w:t>Plus-values hôtelières.</w:t>
      </w:r>
    </w:p>
    <w:p w:rsidR="006428FC" w:rsidRPr="00C36A72" w:rsidRDefault="006428FC" w:rsidP="00C36A72">
      <w:pPr>
        <w:widowControl/>
        <w:pBdr>
          <w:top w:val="single" w:sz="4" w:space="1" w:color="auto"/>
          <w:left w:val="single" w:sz="4" w:space="4" w:color="auto"/>
          <w:bottom w:val="single" w:sz="4" w:space="1" w:color="auto"/>
          <w:right w:val="single" w:sz="4" w:space="4" w:color="auto"/>
        </w:pBdr>
        <w:shd w:val="clear" w:color="auto" w:fill="808080" w:themeFill="background1" w:themeFillShade="80"/>
        <w:ind w:left="1080"/>
        <w:jc w:val="center"/>
        <w:rPr>
          <w:rFonts w:cs="Calibri"/>
          <w:b/>
          <w:color w:val="FFFFFF" w:themeColor="background1"/>
          <w:lang w:val="fr-FR"/>
        </w:rPr>
      </w:pPr>
      <w:r w:rsidRPr="00C36A72">
        <w:rPr>
          <w:rFonts w:cs="Calibri"/>
          <w:b/>
          <w:color w:val="FFFFFF" w:themeColor="background1"/>
          <w:lang w:val="fr-FR"/>
        </w:rPr>
        <w:t>Plus-values immobilières.</w:t>
      </w:r>
    </w:p>
    <w:p w:rsidR="006428FC" w:rsidRPr="00C36A72" w:rsidRDefault="006428FC" w:rsidP="00C36A72">
      <w:pPr>
        <w:widowControl/>
        <w:pBdr>
          <w:top w:val="single" w:sz="4" w:space="1" w:color="auto"/>
          <w:left w:val="single" w:sz="4" w:space="4" w:color="auto"/>
          <w:bottom w:val="single" w:sz="4" w:space="1" w:color="auto"/>
          <w:right w:val="single" w:sz="4" w:space="4" w:color="auto"/>
        </w:pBdr>
        <w:shd w:val="clear" w:color="auto" w:fill="808080" w:themeFill="background1" w:themeFillShade="80"/>
        <w:ind w:left="1080"/>
        <w:jc w:val="center"/>
        <w:rPr>
          <w:rFonts w:cs="Calibri"/>
          <w:b/>
          <w:color w:val="FFFFFF" w:themeColor="background1"/>
          <w:lang w:val="fr-FR"/>
        </w:rPr>
      </w:pPr>
      <w:r w:rsidRPr="00C36A72">
        <w:rPr>
          <w:rFonts w:cs="Calibri"/>
          <w:b/>
          <w:color w:val="FFFFFF" w:themeColor="background1"/>
          <w:lang w:val="fr-FR"/>
        </w:rPr>
        <w:t>Rendement annuel capitalisé.</w:t>
      </w:r>
    </w:p>
    <w:p w:rsidR="006428FC" w:rsidRDefault="00CE1D07" w:rsidP="00C02D2C">
      <w:pPr>
        <w:spacing w:before="23" w:after="0" w:line="240" w:lineRule="auto"/>
        <w:ind w:right="-20"/>
        <w:rPr>
          <w:rFonts w:eastAsia="Corbel" w:cs="Calibri"/>
          <w:b/>
          <w:bCs/>
          <w:spacing w:val="-9"/>
          <w:sz w:val="24"/>
          <w:szCs w:val="24"/>
          <w:lang w:val="fr-FR"/>
        </w:rPr>
      </w:pPr>
      <w:r>
        <w:rPr>
          <w:rFonts w:eastAsia="Corbel" w:cs="Calibri"/>
          <w:b/>
          <w:bCs/>
          <w:noProof/>
          <w:spacing w:val="-9"/>
          <w:sz w:val="24"/>
          <w:szCs w:val="24"/>
          <w:lang w:val="fr-FR" w:eastAsia="fr-FR"/>
        </w:rPr>
        <w:lastRenderedPageBreak/>
        <w:drawing>
          <wp:inline distT="0" distB="0" distL="0" distR="0">
            <wp:extent cx="5756910" cy="3228340"/>
            <wp:effectExtent l="19050" t="0" r="0" b="0"/>
            <wp:docPr id="1" name="Image 1" descr="Sans t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ns titre"/>
                    <pic:cNvPicPr>
                      <a:picLocks noChangeAspect="1" noChangeArrowheads="1"/>
                    </pic:cNvPicPr>
                  </pic:nvPicPr>
                  <pic:blipFill>
                    <a:blip r:embed="rId8" cstate="print"/>
                    <a:srcRect/>
                    <a:stretch>
                      <a:fillRect/>
                    </a:stretch>
                  </pic:blipFill>
                  <pic:spPr bwMode="auto">
                    <a:xfrm>
                      <a:off x="0" y="0"/>
                      <a:ext cx="5756910" cy="3228340"/>
                    </a:xfrm>
                    <a:prstGeom prst="rect">
                      <a:avLst/>
                    </a:prstGeom>
                    <a:noFill/>
                    <a:ln w="9525">
                      <a:noFill/>
                      <a:miter lim="800000"/>
                      <a:headEnd/>
                      <a:tailEnd/>
                    </a:ln>
                  </pic:spPr>
                </pic:pic>
              </a:graphicData>
            </a:graphic>
          </wp:inline>
        </w:drawing>
      </w:r>
    </w:p>
    <w:p w:rsidR="006428FC" w:rsidRPr="00C36A72" w:rsidRDefault="00C36A72" w:rsidP="002A6D91">
      <w:pPr>
        <w:spacing w:before="23" w:after="0" w:line="240" w:lineRule="auto"/>
        <w:ind w:left="378" w:right="-20"/>
        <w:rPr>
          <w:rFonts w:eastAsia="Corbel" w:cs="Calibri"/>
          <w:b/>
          <w:bCs/>
          <w:spacing w:val="-9"/>
          <w:sz w:val="24"/>
          <w:szCs w:val="24"/>
          <w:lang w:val="fr-FR"/>
        </w:rPr>
      </w:pPr>
      <w:bookmarkStart w:id="0" w:name="_DV_C9"/>
      <w:r w:rsidRPr="00C36A72">
        <w:rPr>
          <w:sz w:val="18"/>
          <w:szCs w:val="18"/>
          <w:lang w:val="fr-FR"/>
        </w:rPr>
        <w:t>L’attention des investisseurs est toutefois attirée sur l’impact de l’effet "moyenne" d’un tel affichage, lequel peut masquer de mauvais résultats pour certains fonds en particulier et lequel ne préjuge pas de performances d’un niveau équivalent pour le présent fond (étant en toutes hypothèses rappelé que HBC Capital présente un risque de perte en capital).</w:t>
      </w:r>
      <w:bookmarkEnd w:id="0"/>
      <w:r w:rsidRPr="00C36A72">
        <w:rPr>
          <w:sz w:val="18"/>
          <w:szCs w:val="18"/>
          <w:lang w:val="fr-FR"/>
        </w:rPr>
        <w:t xml:space="preserve"> Par ailleurs, l’attention des investisseurs est attirée sur les facteurs de risques liés à un investissement dans HBC Capital présentés ci-après dans le présent document</w:t>
      </w:r>
    </w:p>
    <w:p w:rsidR="00C02D2C" w:rsidRDefault="00C02D2C" w:rsidP="002A6D91">
      <w:pPr>
        <w:spacing w:before="23" w:after="0" w:line="240" w:lineRule="auto"/>
        <w:ind w:left="378" w:right="-20"/>
        <w:rPr>
          <w:rFonts w:eastAsia="Corbel" w:cs="Calibri"/>
          <w:b/>
          <w:bCs/>
          <w:spacing w:val="-9"/>
          <w:sz w:val="24"/>
          <w:szCs w:val="24"/>
          <w:lang w:val="fr-FR"/>
        </w:rPr>
      </w:pPr>
    </w:p>
    <w:p w:rsidR="00C36A72" w:rsidRPr="00C36A72" w:rsidRDefault="00C36A72" w:rsidP="00C36A72">
      <w:pPr>
        <w:spacing w:after="0" w:line="240" w:lineRule="auto"/>
        <w:ind w:left="117" w:right="2268"/>
        <w:jc w:val="both"/>
        <w:rPr>
          <w:rFonts w:eastAsia="Corbel" w:cs="Calibri"/>
          <w:b/>
          <w:bCs/>
          <w:color w:val="9C1C1F"/>
          <w:spacing w:val="-27"/>
          <w:sz w:val="40"/>
          <w:szCs w:val="60"/>
          <w:lang w:val="fr-FR"/>
        </w:rPr>
      </w:pPr>
      <w:r w:rsidRPr="00C36A72">
        <w:rPr>
          <w:rFonts w:eastAsia="Corbel" w:cs="Calibri"/>
          <w:b/>
          <w:bCs/>
          <w:color w:val="9C1C1F"/>
          <w:spacing w:val="-27"/>
          <w:sz w:val="40"/>
          <w:szCs w:val="60"/>
          <w:lang w:val="fr-FR"/>
        </w:rPr>
        <w:t>Comment sont répartis les gains ?</w:t>
      </w:r>
    </w:p>
    <w:p w:rsidR="00C36A72" w:rsidRPr="00C36A72" w:rsidRDefault="00C36A72" w:rsidP="00C36A72">
      <w:pPr>
        <w:jc w:val="both"/>
        <w:rPr>
          <w:lang w:val="fr-FR"/>
        </w:rPr>
      </w:pPr>
      <w:r w:rsidRPr="00C36A72">
        <w:rPr>
          <w:lang w:val="fr-FR"/>
        </w:rPr>
        <w:t>Le capital de la société HBC CAPITAL est constitué de deux types de catégorie d’actions A et B.</w:t>
      </w:r>
    </w:p>
    <w:p w:rsidR="00C36A72" w:rsidRPr="00C36A72" w:rsidRDefault="00C36A72" w:rsidP="00C36A72">
      <w:pPr>
        <w:pStyle w:val="Paragraphedeliste"/>
        <w:widowControl/>
        <w:numPr>
          <w:ilvl w:val="0"/>
          <w:numId w:val="13"/>
        </w:numPr>
        <w:jc w:val="both"/>
        <w:rPr>
          <w:lang w:val="fr-FR"/>
        </w:rPr>
      </w:pPr>
      <w:r w:rsidRPr="00C36A72">
        <w:rPr>
          <w:lang w:val="fr-FR"/>
        </w:rPr>
        <w:t>Les actions de type A destinées aux investisseurs.</w:t>
      </w:r>
    </w:p>
    <w:p w:rsidR="00C36A72" w:rsidRPr="00C36A72" w:rsidRDefault="00C36A72" w:rsidP="00C36A72">
      <w:pPr>
        <w:pStyle w:val="Paragraphedeliste"/>
        <w:widowControl/>
        <w:numPr>
          <w:ilvl w:val="0"/>
          <w:numId w:val="12"/>
        </w:numPr>
        <w:jc w:val="both"/>
        <w:rPr>
          <w:lang w:val="fr-FR"/>
        </w:rPr>
      </w:pPr>
      <w:r w:rsidRPr="00C36A72">
        <w:rPr>
          <w:lang w:val="fr-FR"/>
        </w:rPr>
        <w:t>Les actions de type B (</w:t>
      </w:r>
      <w:proofErr w:type="spellStart"/>
      <w:r w:rsidRPr="00C36A72">
        <w:rPr>
          <w:lang w:val="fr-FR"/>
        </w:rPr>
        <w:t>carried</w:t>
      </w:r>
      <w:proofErr w:type="spellEnd"/>
      <w:r w:rsidRPr="00C36A72">
        <w:rPr>
          <w:lang w:val="fr-FR"/>
        </w:rPr>
        <w:t>-</w:t>
      </w:r>
      <w:proofErr w:type="spellStart"/>
      <w:r w:rsidRPr="00C36A72">
        <w:rPr>
          <w:lang w:val="fr-FR"/>
        </w:rPr>
        <w:t>interest</w:t>
      </w:r>
      <w:proofErr w:type="spellEnd"/>
      <w:r w:rsidRPr="00C36A72">
        <w:rPr>
          <w:lang w:val="fr-FR"/>
        </w:rPr>
        <w:t>) destinées à être souscrites par les personnes intervenant dans la gestion de HBC CAPITAL</w:t>
      </w:r>
    </w:p>
    <w:p w:rsidR="00C36A72" w:rsidRPr="00C36A72" w:rsidRDefault="00C36A72" w:rsidP="00C36A72">
      <w:pPr>
        <w:pStyle w:val="Paragraphedeliste"/>
        <w:widowControl/>
        <w:numPr>
          <w:ilvl w:val="0"/>
          <w:numId w:val="12"/>
        </w:numPr>
        <w:jc w:val="both"/>
        <w:rPr>
          <w:lang w:val="fr-FR"/>
        </w:rPr>
      </w:pPr>
      <w:r w:rsidRPr="00C36A72">
        <w:rPr>
          <w:lang w:val="fr-FR"/>
        </w:rPr>
        <w:t>En vertu des dispositions légales et statutaires applicables, l’émission de 100 actions de type A oblige à émettre 1 action B Ne pouvant être souscrite que par les personnes intervenant dans la gestion de HBC CAPITAL.</w:t>
      </w:r>
    </w:p>
    <w:p w:rsidR="00C36A72" w:rsidRPr="00C36A72" w:rsidRDefault="00C36A72" w:rsidP="00C36A72">
      <w:pPr>
        <w:jc w:val="both"/>
        <w:rPr>
          <w:lang w:val="fr-FR"/>
        </w:rPr>
      </w:pPr>
      <w:r w:rsidRPr="00C36A72">
        <w:rPr>
          <w:lang w:val="fr-FR"/>
        </w:rPr>
        <w:t>Les droits préférentiels attachés aux actions A et aux actions B sont définis à l’article 14.2 des statuts de HBC Capital et répondent notamment au principe selon lequel l’actif net de liquidation au-delà d’un "rendement" de 7% l’an sera répartis à hauteur de 80% pour les actions A (investisseurs) et 20% pour les actions B (personnes intervenant dans la gestion du fonds).</w:t>
      </w:r>
    </w:p>
    <w:p w:rsidR="00C36A72" w:rsidRDefault="00C36A72" w:rsidP="00C36A72">
      <w:pPr>
        <w:spacing w:before="23" w:after="0" w:line="240" w:lineRule="auto"/>
        <w:ind w:left="378" w:right="-20"/>
        <w:jc w:val="center"/>
        <w:rPr>
          <w:rFonts w:eastAsia="Corbel" w:cs="Calibri"/>
          <w:b/>
          <w:bCs/>
          <w:spacing w:val="-9"/>
          <w:sz w:val="24"/>
          <w:szCs w:val="24"/>
          <w:lang w:val="fr-FR"/>
        </w:rPr>
      </w:pPr>
      <w:r w:rsidRPr="00C36A72">
        <w:rPr>
          <w:rFonts w:eastAsia="Corbel" w:cs="Calibri"/>
          <w:b/>
          <w:bCs/>
          <w:spacing w:val="-9"/>
          <w:sz w:val="24"/>
          <w:szCs w:val="24"/>
          <w:lang w:val="fr-FR"/>
        </w:rPr>
        <w:drawing>
          <wp:inline distT="0" distB="0" distL="0" distR="0">
            <wp:extent cx="2860565" cy="2345634"/>
            <wp:effectExtent l="19050" t="0" r="0" b="0"/>
            <wp:docPr id="3" name="Obje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440" cy="4113748"/>
                      <a:chOff x="2339752" y="1691516"/>
                      <a:chExt cx="3960440" cy="4113748"/>
                    </a:xfrm>
                  </a:grpSpPr>
                  <a:sp>
                    <a:nvSpPr>
                      <a:cNvPr id="15" name="Rectangle 14"/>
                      <a:cNvSpPr/>
                    </a:nvSpPr>
                    <a:spPr>
                      <a:xfrm>
                        <a:off x="2339752" y="1700808"/>
                        <a:ext cx="3960440" cy="4104456"/>
                      </a:xfrm>
                      <a:prstGeom prst="rect">
                        <a:avLst/>
                      </a:prstGeom>
                      <a:solidFill>
                        <a:schemeClr val="bg1">
                          <a:lumMod val="95000"/>
                        </a:schemeClr>
                      </a:solidFill>
                      <a:ln>
                        <a:noFill/>
                      </a:ln>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a:sp>
                    <a:nvSpPr>
                      <a:cNvPr id="2" name="Rectangle 1"/>
                      <a:cNvSpPr/>
                    </a:nvSpPr>
                    <a:spPr>
                      <a:xfrm>
                        <a:off x="2555776" y="2204864"/>
                        <a:ext cx="1656184" cy="2232248"/>
                      </a:xfrm>
                      <a:prstGeom prst="rect">
                        <a:avLst/>
                      </a:prstGeom>
                    </a:spPr>
                    <a:txSp>
                      <a:txBody>
                        <a:bodyPr rtlCol="0" anchor="ctr"/>
                        <a:lstStyle>
                          <a:defPPr>
                            <a:defRPr lang="fr-FR"/>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fr-FR" sz="4800" b="1" dirty="0" smtClean="0">
                              <a:solidFill>
                                <a:srgbClr val="FF0000"/>
                              </a:solidFill>
                            </a:rPr>
                            <a:t>80%</a:t>
                          </a:r>
                          <a:endParaRPr lang="fr-FR" sz="4800" b="1" dirty="0">
                            <a:solidFill>
                              <a:srgbClr val="FF0000"/>
                            </a:solidFill>
                          </a:endParaRPr>
                        </a:p>
                      </a:txBody>
                      <a:useSpRect/>
                    </a:txSp>
                    <a:style>
                      <a:lnRef idx="1">
                        <a:schemeClr val="accent2"/>
                      </a:lnRef>
                      <a:fillRef idx="2">
                        <a:schemeClr val="accent2"/>
                      </a:fillRef>
                      <a:effectRef idx="1">
                        <a:schemeClr val="accent2"/>
                      </a:effectRef>
                      <a:fontRef idx="minor">
                        <a:schemeClr val="dk1"/>
                      </a:fontRef>
                    </a:style>
                  </a:sp>
                  <a:sp>
                    <a:nvSpPr>
                      <a:cNvPr id="8" name="Rectangle 7"/>
                      <a:cNvSpPr/>
                    </a:nvSpPr>
                    <a:spPr>
                      <a:xfrm>
                        <a:off x="4427984" y="3789040"/>
                        <a:ext cx="1656184" cy="648072"/>
                      </a:xfrm>
                      <a:prstGeom prst="rect">
                        <a:avLst/>
                      </a:prstGeom>
                    </a:spPr>
                    <a:txSp>
                      <a:txBody>
                        <a:bodyPr rtlCol="0" anchor="ctr"/>
                        <a:lstStyle>
                          <a:defPPr>
                            <a:defRPr lang="fr-FR"/>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fr-FR" sz="4000" b="1" dirty="0">
                              <a:solidFill>
                                <a:srgbClr val="FF0000"/>
                              </a:solidFill>
                            </a:rPr>
                            <a:t>2</a:t>
                          </a:r>
                          <a:r>
                            <a:rPr lang="fr-FR" sz="4000" b="1" dirty="0" smtClean="0">
                              <a:solidFill>
                                <a:srgbClr val="FF0000"/>
                              </a:solidFill>
                            </a:rPr>
                            <a:t>0%</a:t>
                          </a:r>
                          <a:endParaRPr lang="fr-FR" sz="4000" b="1" dirty="0">
                            <a:solidFill>
                              <a:srgbClr val="FF0000"/>
                            </a:solidFill>
                          </a:endParaRPr>
                        </a:p>
                      </a:txBody>
                      <a:useSpRect/>
                    </a:txSp>
                    <a:style>
                      <a:lnRef idx="1">
                        <a:schemeClr val="accent2"/>
                      </a:lnRef>
                      <a:fillRef idx="2">
                        <a:schemeClr val="accent2"/>
                      </a:fillRef>
                      <a:effectRef idx="1">
                        <a:schemeClr val="accent2"/>
                      </a:effectRef>
                      <a:fontRef idx="minor">
                        <a:schemeClr val="dk1"/>
                      </a:fontRef>
                    </a:style>
                  </a:sp>
                  <a:sp>
                    <a:nvSpPr>
                      <a:cNvPr id="9" name="Rectangle 8"/>
                      <a:cNvSpPr/>
                    </a:nvSpPr>
                    <a:spPr>
                      <a:xfrm>
                        <a:off x="2555776" y="4509120"/>
                        <a:ext cx="1656184" cy="720080"/>
                      </a:xfrm>
                      <a:prstGeom prst="rect">
                        <a:avLst/>
                      </a:prstGeom>
                      <a:solidFill>
                        <a:schemeClr val="bg1">
                          <a:lumMod val="65000"/>
                        </a:schemeClr>
                      </a:solidFill>
                      <a:ln>
                        <a:solidFill>
                          <a:schemeClr val="bg1">
                            <a:lumMod val="50000"/>
                          </a:schemeClr>
                        </a:solidFill>
                      </a:ln>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fr-FR" b="1" dirty="0" smtClean="0"/>
                            <a:t>Investisseur</a:t>
                          </a:r>
                          <a:endParaRPr lang="fr-FR"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angle 9"/>
                      <a:cNvSpPr/>
                    </a:nvSpPr>
                    <a:spPr>
                      <a:xfrm>
                        <a:off x="4427984" y="4509120"/>
                        <a:ext cx="1656184" cy="720080"/>
                      </a:xfrm>
                      <a:prstGeom prst="rect">
                        <a:avLst/>
                      </a:prstGeom>
                      <a:solidFill>
                        <a:schemeClr val="bg1">
                          <a:lumMod val="65000"/>
                        </a:schemeClr>
                      </a:solidFill>
                      <a:ln>
                        <a:solidFill>
                          <a:schemeClr val="bg1">
                            <a:lumMod val="50000"/>
                          </a:schemeClr>
                        </a:solidFill>
                      </a:ln>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fr-FR" b="1" dirty="0" smtClean="0"/>
                            <a:t>Gestionnaire</a:t>
                          </a:r>
                          <a:endParaRPr lang="fr-FR"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ZoneTexte 10"/>
                      <a:cNvSpPr txBox="1"/>
                    </a:nvSpPr>
                    <a:spPr>
                      <a:xfrm>
                        <a:off x="2555776" y="5301208"/>
                        <a:ext cx="1656184" cy="400110"/>
                      </a:xfrm>
                      <a:prstGeom prst="rect">
                        <a:avLst/>
                      </a:prstGeom>
                      <a:noFill/>
                      <a:ln>
                        <a:solidFill>
                          <a:schemeClr val="tx1"/>
                        </a:solidFill>
                      </a:ln>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fr-FR" sz="2000" b="1" dirty="0" smtClean="0">
                              <a:solidFill>
                                <a:srgbClr val="FF0000"/>
                              </a:solidFill>
                            </a:rPr>
                            <a:t>Actions A</a:t>
                          </a:r>
                          <a:endParaRPr lang="fr-FR" sz="2000" b="1" dirty="0">
                            <a:solidFill>
                              <a:srgbClr val="FF0000"/>
                            </a:solidFill>
                          </a:endParaRPr>
                        </a:p>
                      </a:txBody>
                      <a:useSpRect/>
                    </a:txSp>
                  </a:sp>
                  <a:sp>
                    <a:nvSpPr>
                      <a:cNvPr id="12" name="ZoneTexte 11"/>
                      <a:cNvSpPr txBox="1"/>
                    </a:nvSpPr>
                    <a:spPr>
                      <a:xfrm>
                        <a:off x="4427984" y="5301208"/>
                        <a:ext cx="1656184" cy="400110"/>
                      </a:xfrm>
                      <a:prstGeom prst="rect">
                        <a:avLst/>
                      </a:prstGeom>
                      <a:noFill/>
                      <a:ln>
                        <a:solidFill>
                          <a:schemeClr val="tx1"/>
                        </a:solidFill>
                      </a:ln>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fr-FR" sz="2000" b="1" dirty="0" smtClean="0">
                              <a:solidFill>
                                <a:srgbClr val="FF0000"/>
                              </a:solidFill>
                            </a:rPr>
                            <a:t>Actions B</a:t>
                          </a:r>
                          <a:endParaRPr lang="fr-FR" sz="2000" b="1" dirty="0">
                            <a:solidFill>
                              <a:srgbClr val="FF0000"/>
                            </a:solidFill>
                          </a:endParaRPr>
                        </a:p>
                      </a:txBody>
                      <a:useSpRect/>
                    </a:txSp>
                  </a:sp>
                  <a:sp>
                    <a:nvSpPr>
                      <a:cNvPr id="13" name="ZoneTexte 12"/>
                      <a:cNvSpPr txBox="1"/>
                    </a:nvSpPr>
                    <a:spPr>
                      <a:xfrm>
                        <a:off x="2483768" y="1691516"/>
                        <a:ext cx="3744416" cy="369332"/>
                      </a:xfrm>
                      <a:prstGeom prst="rect">
                        <a:avLst/>
                      </a:prstGeom>
                      <a:solidFill>
                        <a:schemeClr val="bg1">
                          <a:lumMod val="95000"/>
                        </a:schemeClr>
                      </a:solid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fr-FR" dirty="0" smtClean="0"/>
                            <a:t>Partage des gains espérés</a:t>
                          </a:r>
                          <a:endParaRPr lang="fr-FR" dirty="0"/>
                        </a:p>
                      </a:txBody>
                      <a:useSpRect/>
                    </a:txSp>
                  </a:sp>
                </lc:lockedCanvas>
              </a:graphicData>
            </a:graphic>
          </wp:inline>
        </w:drawing>
      </w:r>
    </w:p>
    <w:p w:rsidR="00C36A72" w:rsidRDefault="00C36A72" w:rsidP="002A6D91">
      <w:pPr>
        <w:spacing w:before="23" w:after="0" w:line="240" w:lineRule="auto"/>
        <w:ind w:left="378" w:right="-20"/>
        <w:rPr>
          <w:rFonts w:eastAsia="Corbel" w:cs="Calibri"/>
          <w:b/>
          <w:bCs/>
          <w:spacing w:val="-9"/>
          <w:sz w:val="24"/>
          <w:szCs w:val="24"/>
          <w:lang w:val="fr-FR"/>
        </w:rPr>
      </w:pPr>
    </w:p>
    <w:p w:rsidR="00C36A72" w:rsidRPr="001D69BD" w:rsidRDefault="00C36A72" w:rsidP="002A6D91">
      <w:pPr>
        <w:spacing w:before="23" w:after="0" w:line="240" w:lineRule="auto"/>
        <w:ind w:left="378" w:right="-20"/>
        <w:rPr>
          <w:rFonts w:eastAsia="Corbel" w:cs="Calibri"/>
          <w:b/>
          <w:bCs/>
          <w:spacing w:val="-9"/>
          <w:sz w:val="24"/>
          <w:szCs w:val="24"/>
          <w:lang w:val="fr-FR"/>
        </w:rPr>
      </w:pPr>
    </w:p>
    <w:p w:rsidR="00241524" w:rsidRPr="001D69BD" w:rsidRDefault="00262762" w:rsidP="00262762">
      <w:pPr>
        <w:spacing w:after="0" w:line="240" w:lineRule="auto"/>
        <w:ind w:left="117" w:right="2268"/>
        <w:jc w:val="both"/>
        <w:rPr>
          <w:rFonts w:eastAsia="Corbel" w:cs="Calibri"/>
          <w:b/>
          <w:bCs/>
          <w:color w:val="9C1C1F"/>
          <w:spacing w:val="-27"/>
          <w:sz w:val="40"/>
          <w:szCs w:val="60"/>
          <w:lang w:val="fr-FR"/>
        </w:rPr>
      </w:pPr>
      <w:r>
        <w:rPr>
          <w:rFonts w:eastAsia="Corbel" w:cs="Calibri"/>
          <w:b/>
          <w:bCs/>
          <w:color w:val="9C1C1F"/>
          <w:spacing w:val="-27"/>
          <w:sz w:val="40"/>
          <w:szCs w:val="60"/>
          <w:lang w:val="fr-FR"/>
        </w:rPr>
        <w:t>Risques liés à l’investissement dans HBC Capital</w:t>
      </w:r>
    </w:p>
    <w:p w:rsidR="00C02D2C" w:rsidRPr="00C02D2C" w:rsidRDefault="00C02D2C" w:rsidP="00C02D2C">
      <w:pPr>
        <w:rPr>
          <w:rFonts w:cs="Century Gothic"/>
          <w:color w:val="000000"/>
          <w:sz w:val="28"/>
          <w:szCs w:val="28"/>
          <w:lang w:val="fr-FR"/>
        </w:rPr>
      </w:pPr>
      <w:r w:rsidRPr="00C02D2C">
        <w:rPr>
          <w:b/>
          <w:sz w:val="28"/>
          <w:lang w:val="fr-FR"/>
        </w:rPr>
        <w:t xml:space="preserve">Facteurs de risques </w:t>
      </w:r>
      <w:r w:rsidRPr="00C02D2C">
        <w:rPr>
          <w:rStyle w:val="A3"/>
          <w:b/>
          <w:bCs/>
          <w:sz w:val="28"/>
          <w:szCs w:val="28"/>
          <w:lang w:val="fr-FR"/>
        </w:rPr>
        <w:t>liés à l’investissement dans HBC CAPITAL :</w:t>
      </w:r>
    </w:p>
    <w:p w:rsidR="00C02D2C" w:rsidRPr="00D334E6" w:rsidRDefault="00C02D2C" w:rsidP="00C02D2C">
      <w:pPr>
        <w:pStyle w:val="Pa5"/>
        <w:spacing w:before="40"/>
        <w:jc w:val="both"/>
        <w:rPr>
          <w:rFonts w:asciiTheme="minorHAnsi" w:hAnsiTheme="minorHAnsi"/>
          <w:sz w:val="22"/>
          <w:szCs w:val="22"/>
        </w:rPr>
      </w:pPr>
      <w:r w:rsidRPr="00D334E6">
        <w:rPr>
          <w:rFonts w:asciiTheme="minorHAnsi" w:hAnsiTheme="minorHAnsi"/>
          <w:sz w:val="22"/>
          <w:szCs w:val="22"/>
        </w:rPr>
        <w:t>Rien ne garantit la rentabilité de l’investissement au capital de la Société, ni même la récupération de tout ou partie de la mise de fonds initiale. La réalisation de tout ou partie de ces risques est susceptible d’avoir un effet négatif sur les activités, la situation, les résultats financiers de la Société ou ses objectifs.</w:t>
      </w:r>
      <w:r>
        <w:rPr>
          <w:rFonts w:asciiTheme="minorHAnsi" w:hAnsiTheme="minorHAnsi"/>
          <w:sz w:val="22"/>
          <w:szCs w:val="22"/>
        </w:rPr>
        <w:t xml:space="preserve"> </w:t>
      </w:r>
    </w:p>
    <w:p w:rsidR="00C02D2C" w:rsidRPr="00C02D2C" w:rsidRDefault="00C02D2C" w:rsidP="00C02D2C">
      <w:pPr>
        <w:jc w:val="both"/>
        <w:rPr>
          <w:b/>
          <w:lang w:val="fr-FR"/>
        </w:rPr>
      </w:pPr>
    </w:p>
    <w:p w:rsidR="00C02D2C" w:rsidRPr="00C02D2C" w:rsidRDefault="00C02D2C" w:rsidP="00C02D2C">
      <w:pPr>
        <w:pStyle w:val="Paragraphedeliste"/>
        <w:widowControl/>
        <w:numPr>
          <w:ilvl w:val="0"/>
          <w:numId w:val="6"/>
        </w:numPr>
        <w:spacing w:after="0" w:line="240" w:lineRule="auto"/>
        <w:ind w:left="708" w:right="52"/>
        <w:jc w:val="both"/>
        <w:rPr>
          <w:rFonts w:eastAsia="Arial" w:cstheme="minorHAnsi"/>
          <w:lang w:val="fr-FR"/>
        </w:rPr>
      </w:pPr>
      <w:r w:rsidRPr="00C02D2C">
        <w:rPr>
          <w:b/>
          <w:lang w:val="fr-FR"/>
        </w:rPr>
        <w:t>Risques liés à l’application du régime des SCR</w:t>
      </w:r>
      <w:r w:rsidR="00C36A72">
        <w:rPr>
          <w:b/>
          <w:lang w:val="fr-FR"/>
        </w:rPr>
        <w:t xml:space="preserve"> </w:t>
      </w:r>
      <w:proofErr w:type="gramStart"/>
      <w:r w:rsidR="00C36A72">
        <w:rPr>
          <w:b/>
          <w:lang w:val="fr-FR"/>
        </w:rPr>
        <w:t>:</w:t>
      </w:r>
      <w:r w:rsidRPr="00C02D2C">
        <w:rPr>
          <w:rFonts w:cstheme="minorHAnsi"/>
          <w:lang w:val="fr-FR"/>
        </w:rPr>
        <w:t>L</w:t>
      </w:r>
      <w:r w:rsidRPr="00C02D2C">
        <w:rPr>
          <w:rFonts w:eastAsia="Arial" w:cstheme="minorHAnsi"/>
          <w:lang w:val="fr-FR"/>
        </w:rPr>
        <w:t>a</w:t>
      </w:r>
      <w:proofErr w:type="gramEnd"/>
      <w:r w:rsidRPr="00C02D2C">
        <w:rPr>
          <w:rFonts w:eastAsia="Arial" w:cstheme="minorHAnsi"/>
          <w:spacing w:val="29"/>
          <w:lang w:val="fr-FR"/>
        </w:rPr>
        <w:t xml:space="preserve"> </w:t>
      </w:r>
      <w:r w:rsidRPr="00C02D2C">
        <w:rPr>
          <w:rFonts w:eastAsia="Arial" w:cstheme="minorHAnsi"/>
          <w:lang w:val="fr-FR"/>
        </w:rPr>
        <w:t>S</w:t>
      </w:r>
      <w:r w:rsidRPr="00C02D2C">
        <w:rPr>
          <w:rFonts w:eastAsia="Arial" w:cstheme="minorHAnsi"/>
          <w:spacing w:val="-2"/>
          <w:lang w:val="fr-FR"/>
        </w:rPr>
        <w:t>o</w:t>
      </w:r>
      <w:r w:rsidRPr="00C02D2C">
        <w:rPr>
          <w:rFonts w:eastAsia="Arial" w:cstheme="minorHAnsi"/>
          <w:lang w:val="fr-FR"/>
        </w:rPr>
        <w:t>c</w:t>
      </w:r>
      <w:r w:rsidRPr="00C02D2C">
        <w:rPr>
          <w:rFonts w:eastAsia="Arial" w:cstheme="minorHAnsi"/>
          <w:spacing w:val="3"/>
          <w:lang w:val="fr-FR"/>
        </w:rPr>
        <w:t>i</w:t>
      </w:r>
      <w:r w:rsidRPr="00C02D2C">
        <w:rPr>
          <w:rFonts w:eastAsia="Arial" w:cstheme="minorHAnsi"/>
          <w:spacing w:val="-2"/>
          <w:lang w:val="fr-FR"/>
        </w:rPr>
        <w:t>é</w:t>
      </w:r>
      <w:r w:rsidRPr="00C02D2C">
        <w:rPr>
          <w:rFonts w:eastAsia="Arial" w:cstheme="minorHAnsi"/>
          <w:spacing w:val="1"/>
          <w:lang w:val="fr-FR"/>
        </w:rPr>
        <w:t>t</w:t>
      </w:r>
      <w:r w:rsidRPr="00C02D2C">
        <w:rPr>
          <w:rFonts w:eastAsia="Arial" w:cstheme="minorHAnsi"/>
          <w:lang w:val="fr-FR"/>
        </w:rPr>
        <w:t>é HBC CAPITAL ayant o</w:t>
      </w:r>
      <w:r w:rsidRPr="00C02D2C">
        <w:rPr>
          <w:rFonts w:eastAsia="Arial" w:cstheme="minorHAnsi"/>
          <w:spacing w:val="-2"/>
          <w:lang w:val="fr-FR"/>
        </w:rPr>
        <w:t>p</w:t>
      </w:r>
      <w:r w:rsidRPr="00C02D2C">
        <w:rPr>
          <w:rFonts w:eastAsia="Arial" w:cstheme="minorHAnsi"/>
          <w:spacing w:val="1"/>
          <w:lang w:val="fr-FR"/>
        </w:rPr>
        <w:t>t</w:t>
      </w:r>
      <w:r w:rsidRPr="00C02D2C">
        <w:rPr>
          <w:rFonts w:eastAsia="Arial" w:cstheme="minorHAnsi"/>
          <w:lang w:val="fr-FR"/>
        </w:rPr>
        <w:t>é</w:t>
      </w:r>
      <w:r w:rsidRPr="00C02D2C">
        <w:rPr>
          <w:rFonts w:eastAsia="Arial" w:cstheme="minorHAnsi"/>
          <w:spacing w:val="29"/>
          <w:lang w:val="fr-FR"/>
        </w:rPr>
        <w:t xml:space="preserve"> </w:t>
      </w:r>
      <w:r w:rsidRPr="00C02D2C">
        <w:rPr>
          <w:rFonts w:eastAsia="Arial" w:cstheme="minorHAnsi"/>
          <w:spacing w:val="-2"/>
          <w:lang w:val="fr-FR"/>
        </w:rPr>
        <w:t>p</w:t>
      </w:r>
      <w:r w:rsidRPr="00C02D2C">
        <w:rPr>
          <w:rFonts w:eastAsia="Arial" w:cstheme="minorHAnsi"/>
          <w:spacing w:val="3"/>
          <w:lang w:val="fr-FR"/>
        </w:rPr>
        <w:t>o</w:t>
      </w:r>
      <w:r w:rsidRPr="00C02D2C">
        <w:rPr>
          <w:rFonts w:eastAsia="Arial" w:cstheme="minorHAnsi"/>
          <w:spacing w:val="-2"/>
          <w:lang w:val="fr-FR"/>
        </w:rPr>
        <w:t>u</w:t>
      </w:r>
      <w:r w:rsidRPr="00C02D2C">
        <w:rPr>
          <w:rFonts w:eastAsia="Arial" w:cstheme="minorHAnsi"/>
          <w:lang w:val="fr-FR"/>
        </w:rPr>
        <w:t>r</w:t>
      </w:r>
      <w:r w:rsidRPr="00C02D2C">
        <w:rPr>
          <w:rFonts w:eastAsia="Arial" w:cstheme="minorHAnsi"/>
          <w:spacing w:val="31"/>
          <w:lang w:val="fr-FR"/>
        </w:rPr>
        <w:t xml:space="preserve"> </w:t>
      </w:r>
      <w:r w:rsidRPr="00C02D2C">
        <w:rPr>
          <w:rFonts w:eastAsia="Arial" w:cstheme="minorHAnsi"/>
          <w:spacing w:val="3"/>
          <w:lang w:val="fr-FR"/>
        </w:rPr>
        <w:t>l</w:t>
      </w:r>
      <w:r w:rsidRPr="00C02D2C">
        <w:rPr>
          <w:rFonts w:eastAsia="Arial" w:cstheme="minorHAnsi"/>
          <w:lang w:val="fr-FR"/>
        </w:rPr>
        <w:t>e</w:t>
      </w:r>
      <w:r w:rsidRPr="00C02D2C">
        <w:rPr>
          <w:rFonts w:eastAsia="Arial" w:cstheme="minorHAnsi"/>
          <w:spacing w:val="29"/>
          <w:lang w:val="fr-FR"/>
        </w:rPr>
        <w:t xml:space="preserve"> </w:t>
      </w:r>
      <w:r w:rsidRPr="00C02D2C">
        <w:rPr>
          <w:rFonts w:eastAsia="Arial" w:cstheme="minorHAnsi"/>
          <w:lang w:val="fr-FR"/>
        </w:rPr>
        <w:t>r</w:t>
      </w:r>
      <w:r w:rsidRPr="00C02D2C">
        <w:rPr>
          <w:rFonts w:eastAsia="Arial" w:cstheme="minorHAnsi"/>
          <w:spacing w:val="-2"/>
          <w:lang w:val="fr-FR"/>
        </w:rPr>
        <w:t>ég</w:t>
      </w:r>
      <w:r w:rsidRPr="00C02D2C">
        <w:rPr>
          <w:rFonts w:eastAsia="Arial" w:cstheme="minorHAnsi"/>
          <w:spacing w:val="3"/>
          <w:lang w:val="fr-FR"/>
        </w:rPr>
        <w:t>i</w:t>
      </w:r>
      <w:r w:rsidRPr="00C02D2C">
        <w:rPr>
          <w:rFonts w:eastAsia="Arial" w:cstheme="minorHAnsi"/>
          <w:spacing w:val="5"/>
          <w:lang w:val="fr-FR"/>
        </w:rPr>
        <w:t>m</w:t>
      </w:r>
      <w:r w:rsidRPr="00C02D2C">
        <w:rPr>
          <w:rFonts w:eastAsia="Arial" w:cstheme="minorHAnsi"/>
          <w:lang w:val="fr-FR"/>
        </w:rPr>
        <w:t>e</w:t>
      </w:r>
      <w:r w:rsidRPr="00C02D2C">
        <w:rPr>
          <w:rFonts w:eastAsia="Arial" w:cstheme="minorHAnsi"/>
          <w:spacing w:val="29"/>
          <w:lang w:val="fr-FR"/>
        </w:rPr>
        <w:t xml:space="preserve"> </w:t>
      </w:r>
      <w:r w:rsidRPr="00C02D2C">
        <w:rPr>
          <w:rFonts w:eastAsia="Arial" w:cstheme="minorHAnsi"/>
          <w:spacing w:val="-2"/>
          <w:lang w:val="fr-FR"/>
        </w:rPr>
        <w:t>de</w:t>
      </w:r>
      <w:r w:rsidRPr="00C02D2C">
        <w:rPr>
          <w:rFonts w:eastAsia="Arial" w:cstheme="minorHAnsi"/>
          <w:lang w:val="fr-FR"/>
        </w:rPr>
        <w:t>s</w:t>
      </w:r>
      <w:r w:rsidRPr="00C02D2C">
        <w:rPr>
          <w:rFonts w:eastAsia="Arial" w:cstheme="minorHAnsi"/>
          <w:spacing w:val="31"/>
          <w:lang w:val="fr-FR"/>
        </w:rPr>
        <w:t xml:space="preserve"> </w:t>
      </w:r>
      <w:r w:rsidRPr="00C02D2C">
        <w:rPr>
          <w:rFonts w:eastAsia="Arial" w:cstheme="minorHAnsi"/>
          <w:spacing w:val="-5"/>
          <w:lang w:val="fr-FR"/>
        </w:rPr>
        <w:t>s</w:t>
      </w:r>
      <w:r w:rsidRPr="00C02D2C">
        <w:rPr>
          <w:rFonts w:eastAsia="Arial" w:cstheme="minorHAnsi"/>
          <w:spacing w:val="-2"/>
          <w:lang w:val="fr-FR"/>
        </w:rPr>
        <w:t>o</w:t>
      </w:r>
      <w:r w:rsidRPr="00C02D2C">
        <w:rPr>
          <w:rFonts w:eastAsia="Arial" w:cstheme="minorHAnsi"/>
          <w:lang w:val="fr-FR"/>
        </w:rPr>
        <w:t>c</w:t>
      </w:r>
      <w:r w:rsidRPr="00C02D2C">
        <w:rPr>
          <w:rFonts w:eastAsia="Arial" w:cstheme="minorHAnsi"/>
          <w:spacing w:val="3"/>
          <w:lang w:val="fr-FR"/>
        </w:rPr>
        <w:t>i</w:t>
      </w:r>
      <w:r w:rsidRPr="00C02D2C">
        <w:rPr>
          <w:rFonts w:eastAsia="Arial" w:cstheme="minorHAnsi"/>
          <w:spacing w:val="-2"/>
          <w:lang w:val="fr-FR"/>
        </w:rPr>
        <w:t>é</w:t>
      </w:r>
      <w:r w:rsidRPr="00C02D2C">
        <w:rPr>
          <w:rFonts w:eastAsia="Arial" w:cstheme="minorHAnsi"/>
          <w:spacing w:val="1"/>
          <w:lang w:val="fr-FR"/>
        </w:rPr>
        <w:t>t</w:t>
      </w:r>
      <w:r w:rsidRPr="00C02D2C">
        <w:rPr>
          <w:rFonts w:eastAsia="Arial" w:cstheme="minorHAnsi"/>
          <w:spacing w:val="-2"/>
          <w:lang w:val="fr-FR"/>
        </w:rPr>
        <w:t>é</w:t>
      </w:r>
      <w:r w:rsidRPr="00C02D2C">
        <w:rPr>
          <w:rFonts w:eastAsia="Arial" w:cstheme="minorHAnsi"/>
          <w:lang w:val="fr-FR"/>
        </w:rPr>
        <w:t>s</w:t>
      </w:r>
      <w:r w:rsidRPr="00C02D2C">
        <w:rPr>
          <w:rFonts w:eastAsia="Arial" w:cstheme="minorHAnsi"/>
          <w:spacing w:val="26"/>
          <w:lang w:val="fr-FR"/>
        </w:rPr>
        <w:t xml:space="preserve"> </w:t>
      </w:r>
      <w:r w:rsidRPr="00C02D2C">
        <w:rPr>
          <w:rFonts w:eastAsia="Arial" w:cstheme="minorHAnsi"/>
          <w:spacing w:val="-2"/>
          <w:lang w:val="fr-FR"/>
        </w:rPr>
        <w:t>d</w:t>
      </w:r>
      <w:r w:rsidRPr="00C02D2C">
        <w:rPr>
          <w:rFonts w:eastAsia="Arial" w:cstheme="minorHAnsi"/>
          <w:lang w:val="fr-FR"/>
        </w:rPr>
        <w:t>e</w:t>
      </w:r>
      <w:r w:rsidRPr="00C02D2C">
        <w:rPr>
          <w:rFonts w:eastAsia="Arial" w:cstheme="minorHAnsi"/>
          <w:spacing w:val="34"/>
          <w:lang w:val="fr-FR"/>
        </w:rPr>
        <w:t xml:space="preserve"> </w:t>
      </w:r>
      <w:r w:rsidRPr="00C02D2C">
        <w:rPr>
          <w:rFonts w:eastAsia="Arial" w:cstheme="minorHAnsi"/>
          <w:lang w:val="fr-FR"/>
        </w:rPr>
        <w:t>c</w:t>
      </w:r>
      <w:r w:rsidRPr="00C02D2C">
        <w:rPr>
          <w:rFonts w:eastAsia="Arial" w:cstheme="minorHAnsi"/>
          <w:spacing w:val="-2"/>
          <w:lang w:val="fr-FR"/>
        </w:rPr>
        <w:t>ap</w:t>
      </w:r>
      <w:r w:rsidRPr="00C02D2C">
        <w:rPr>
          <w:rFonts w:eastAsia="Arial" w:cstheme="minorHAnsi"/>
          <w:spacing w:val="3"/>
          <w:lang w:val="fr-FR"/>
        </w:rPr>
        <w:t>i</w:t>
      </w:r>
      <w:r w:rsidRPr="00C02D2C">
        <w:rPr>
          <w:rFonts w:eastAsia="Arial" w:cstheme="minorHAnsi"/>
          <w:spacing w:val="1"/>
          <w:lang w:val="fr-FR"/>
        </w:rPr>
        <w:t>t</w:t>
      </w:r>
      <w:r w:rsidRPr="00C02D2C">
        <w:rPr>
          <w:rFonts w:eastAsia="Arial" w:cstheme="minorHAnsi"/>
          <w:spacing w:val="-2"/>
          <w:lang w:val="fr-FR"/>
        </w:rPr>
        <w:t>a</w:t>
      </w:r>
      <w:r w:rsidRPr="00C02D2C">
        <w:rPr>
          <w:rFonts w:eastAsia="Arial" w:cstheme="minorHAnsi"/>
          <w:spacing w:val="3"/>
          <w:lang w:val="fr-FR"/>
        </w:rPr>
        <w:t>l</w:t>
      </w:r>
      <w:r w:rsidRPr="00C02D2C">
        <w:rPr>
          <w:rFonts w:eastAsia="Arial" w:cstheme="minorHAnsi"/>
          <w:lang w:val="fr-FR"/>
        </w:rPr>
        <w:t>-r</w:t>
      </w:r>
      <w:r w:rsidRPr="00C02D2C">
        <w:rPr>
          <w:rFonts w:eastAsia="Arial" w:cstheme="minorHAnsi"/>
          <w:spacing w:val="3"/>
          <w:lang w:val="fr-FR"/>
        </w:rPr>
        <w:t>i</w:t>
      </w:r>
      <w:r w:rsidRPr="00C02D2C">
        <w:rPr>
          <w:rFonts w:eastAsia="Arial" w:cstheme="minorHAnsi"/>
          <w:spacing w:val="-5"/>
          <w:lang w:val="fr-FR"/>
        </w:rPr>
        <w:t>s</w:t>
      </w:r>
      <w:r w:rsidRPr="00C02D2C">
        <w:rPr>
          <w:rFonts w:eastAsia="Arial" w:cstheme="minorHAnsi"/>
          <w:spacing w:val="-2"/>
          <w:lang w:val="fr-FR"/>
        </w:rPr>
        <w:t>qu</w:t>
      </w:r>
      <w:r w:rsidRPr="00C02D2C">
        <w:rPr>
          <w:rFonts w:eastAsia="Arial" w:cstheme="minorHAnsi"/>
          <w:lang w:val="fr-FR"/>
        </w:rPr>
        <w:t>e</w:t>
      </w:r>
      <w:r w:rsidRPr="00C02D2C">
        <w:rPr>
          <w:rFonts w:eastAsia="Arial" w:cstheme="minorHAnsi"/>
          <w:spacing w:val="29"/>
          <w:lang w:val="fr-FR"/>
        </w:rPr>
        <w:t xml:space="preserve"> </w:t>
      </w:r>
      <w:r w:rsidRPr="00C02D2C">
        <w:rPr>
          <w:rFonts w:eastAsia="Arial" w:cstheme="minorHAnsi"/>
          <w:spacing w:val="-2"/>
          <w:lang w:val="fr-FR"/>
        </w:rPr>
        <w:t>a</w:t>
      </w:r>
      <w:r w:rsidRPr="00C02D2C">
        <w:rPr>
          <w:rFonts w:eastAsia="Arial" w:cstheme="minorHAnsi"/>
          <w:lang w:val="fr-FR"/>
        </w:rPr>
        <w:t>y</w:t>
      </w:r>
      <w:r w:rsidRPr="00C02D2C">
        <w:rPr>
          <w:rFonts w:eastAsia="Arial" w:cstheme="minorHAnsi"/>
          <w:spacing w:val="-2"/>
          <w:lang w:val="fr-FR"/>
        </w:rPr>
        <w:t>an</w:t>
      </w:r>
      <w:r w:rsidRPr="00C02D2C">
        <w:rPr>
          <w:rFonts w:eastAsia="Arial" w:cstheme="minorHAnsi"/>
          <w:lang w:val="fr-FR"/>
        </w:rPr>
        <w:t>t</w:t>
      </w:r>
      <w:r w:rsidRPr="00C02D2C">
        <w:rPr>
          <w:rFonts w:eastAsia="Arial" w:cstheme="minorHAnsi"/>
          <w:spacing w:val="8"/>
          <w:lang w:val="fr-FR"/>
        </w:rPr>
        <w:t xml:space="preserve"> </w:t>
      </w:r>
      <w:r w:rsidRPr="00C02D2C">
        <w:rPr>
          <w:rFonts w:eastAsia="Arial" w:cstheme="minorHAnsi"/>
          <w:spacing w:val="-2"/>
          <w:lang w:val="fr-FR"/>
        </w:rPr>
        <w:t>p</w:t>
      </w:r>
      <w:r w:rsidRPr="00C02D2C">
        <w:rPr>
          <w:rFonts w:eastAsia="Arial" w:cstheme="minorHAnsi"/>
          <w:spacing w:val="3"/>
          <w:lang w:val="fr-FR"/>
        </w:rPr>
        <w:t>o</w:t>
      </w:r>
      <w:r w:rsidRPr="00C02D2C">
        <w:rPr>
          <w:rFonts w:eastAsia="Arial" w:cstheme="minorHAnsi"/>
          <w:spacing w:val="-2"/>
          <w:lang w:val="fr-FR"/>
        </w:rPr>
        <w:t>u</w:t>
      </w:r>
      <w:r w:rsidRPr="00C02D2C">
        <w:rPr>
          <w:rFonts w:eastAsia="Arial" w:cstheme="minorHAnsi"/>
          <w:lang w:val="fr-FR"/>
        </w:rPr>
        <w:t>r</w:t>
      </w:r>
      <w:r w:rsidRPr="00C02D2C">
        <w:rPr>
          <w:rFonts w:eastAsia="Arial" w:cstheme="minorHAnsi"/>
          <w:spacing w:val="8"/>
          <w:lang w:val="fr-FR"/>
        </w:rPr>
        <w:t xml:space="preserve"> </w:t>
      </w:r>
      <w:r w:rsidRPr="00C02D2C">
        <w:rPr>
          <w:rFonts w:eastAsia="Arial" w:cstheme="minorHAnsi"/>
          <w:spacing w:val="-2"/>
          <w:lang w:val="fr-FR"/>
        </w:rPr>
        <w:t>ob</w:t>
      </w:r>
      <w:r w:rsidRPr="00C02D2C">
        <w:rPr>
          <w:rFonts w:eastAsia="Arial" w:cstheme="minorHAnsi"/>
          <w:spacing w:val="3"/>
          <w:lang w:val="fr-FR"/>
        </w:rPr>
        <w:t>j</w:t>
      </w:r>
      <w:r w:rsidRPr="00C02D2C">
        <w:rPr>
          <w:rFonts w:eastAsia="Arial" w:cstheme="minorHAnsi"/>
          <w:spacing w:val="-2"/>
          <w:lang w:val="fr-FR"/>
        </w:rPr>
        <w:t>e</w:t>
      </w:r>
      <w:r w:rsidRPr="00C02D2C">
        <w:rPr>
          <w:rFonts w:eastAsia="Arial" w:cstheme="minorHAnsi"/>
          <w:lang w:val="fr-FR"/>
        </w:rPr>
        <w:t>t</w:t>
      </w:r>
      <w:r w:rsidRPr="00C02D2C">
        <w:rPr>
          <w:rFonts w:eastAsia="Arial" w:cstheme="minorHAnsi"/>
          <w:spacing w:val="8"/>
          <w:lang w:val="fr-FR"/>
        </w:rPr>
        <w:t xml:space="preserve"> </w:t>
      </w:r>
      <w:r w:rsidRPr="00C02D2C">
        <w:rPr>
          <w:rFonts w:eastAsia="Arial" w:cstheme="minorHAnsi"/>
          <w:spacing w:val="-2"/>
          <w:lang w:val="fr-FR"/>
        </w:rPr>
        <w:t>e</w:t>
      </w:r>
      <w:r w:rsidRPr="00C02D2C">
        <w:rPr>
          <w:rFonts w:eastAsia="Arial" w:cstheme="minorHAnsi"/>
          <w:spacing w:val="5"/>
          <w:lang w:val="fr-FR"/>
        </w:rPr>
        <w:t>x</w:t>
      </w:r>
      <w:r w:rsidRPr="00C02D2C">
        <w:rPr>
          <w:rFonts w:eastAsia="Arial" w:cstheme="minorHAnsi"/>
          <w:spacing w:val="-5"/>
          <w:lang w:val="fr-FR"/>
        </w:rPr>
        <w:t>c</w:t>
      </w:r>
      <w:r w:rsidRPr="00C02D2C">
        <w:rPr>
          <w:rFonts w:eastAsia="Arial" w:cstheme="minorHAnsi"/>
          <w:spacing w:val="3"/>
          <w:lang w:val="fr-FR"/>
        </w:rPr>
        <w:t>l</w:t>
      </w:r>
      <w:r w:rsidRPr="00C02D2C">
        <w:rPr>
          <w:rFonts w:eastAsia="Arial" w:cstheme="minorHAnsi"/>
          <w:spacing w:val="-2"/>
          <w:lang w:val="fr-FR"/>
        </w:rPr>
        <w:t>u</w:t>
      </w:r>
      <w:r w:rsidRPr="00C02D2C">
        <w:rPr>
          <w:rFonts w:eastAsia="Arial" w:cstheme="minorHAnsi"/>
          <w:spacing w:val="-5"/>
          <w:lang w:val="fr-FR"/>
        </w:rPr>
        <w:t>s</w:t>
      </w:r>
      <w:r w:rsidRPr="00C02D2C">
        <w:rPr>
          <w:rFonts w:eastAsia="Arial" w:cstheme="minorHAnsi"/>
          <w:spacing w:val="-2"/>
          <w:lang w:val="fr-FR"/>
        </w:rPr>
        <w:t>i</w:t>
      </w:r>
      <w:r w:rsidRPr="00C02D2C">
        <w:rPr>
          <w:rFonts w:eastAsia="Arial" w:cstheme="minorHAnsi"/>
          <w:lang w:val="fr-FR"/>
        </w:rPr>
        <w:t>f</w:t>
      </w:r>
      <w:r w:rsidRPr="00C02D2C">
        <w:rPr>
          <w:rFonts w:eastAsia="Arial" w:cstheme="minorHAnsi"/>
          <w:spacing w:val="9"/>
          <w:lang w:val="fr-FR"/>
        </w:rPr>
        <w:t xml:space="preserve"> </w:t>
      </w:r>
      <w:r w:rsidRPr="00C02D2C">
        <w:rPr>
          <w:rFonts w:eastAsia="Arial" w:cstheme="minorHAnsi"/>
          <w:spacing w:val="3"/>
          <w:lang w:val="fr-FR"/>
        </w:rPr>
        <w:t>l</w:t>
      </w:r>
      <w:r w:rsidRPr="00C02D2C">
        <w:rPr>
          <w:rFonts w:eastAsia="Arial" w:cstheme="minorHAnsi"/>
          <w:lang w:val="fr-FR"/>
        </w:rPr>
        <w:t>a</w:t>
      </w:r>
      <w:r w:rsidRPr="00C02D2C">
        <w:rPr>
          <w:rFonts w:eastAsia="Arial" w:cstheme="minorHAnsi"/>
          <w:spacing w:val="5"/>
          <w:lang w:val="fr-FR"/>
        </w:rPr>
        <w:t xml:space="preserve"> </w:t>
      </w:r>
      <w:r w:rsidRPr="00C02D2C">
        <w:rPr>
          <w:rFonts w:eastAsia="Arial" w:cstheme="minorHAnsi"/>
          <w:spacing w:val="-2"/>
          <w:lang w:val="fr-FR"/>
        </w:rPr>
        <w:t>ge</w:t>
      </w:r>
      <w:r w:rsidRPr="00C02D2C">
        <w:rPr>
          <w:rFonts w:eastAsia="Arial" w:cstheme="minorHAnsi"/>
          <w:spacing w:val="-5"/>
          <w:lang w:val="fr-FR"/>
        </w:rPr>
        <w:t>s</w:t>
      </w:r>
      <w:r w:rsidRPr="00C02D2C">
        <w:rPr>
          <w:rFonts w:eastAsia="Arial" w:cstheme="minorHAnsi"/>
          <w:spacing w:val="1"/>
          <w:lang w:val="fr-FR"/>
        </w:rPr>
        <w:t>t</w:t>
      </w:r>
      <w:r w:rsidRPr="00C02D2C">
        <w:rPr>
          <w:rFonts w:eastAsia="Arial" w:cstheme="minorHAnsi"/>
          <w:spacing w:val="3"/>
          <w:lang w:val="fr-FR"/>
        </w:rPr>
        <w:t>i</w:t>
      </w:r>
      <w:r w:rsidRPr="00C02D2C">
        <w:rPr>
          <w:rFonts w:eastAsia="Arial" w:cstheme="minorHAnsi"/>
          <w:spacing w:val="-2"/>
          <w:lang w:val="fr-FR"/>
        </w:rPr>
        <w:t>o</w:t>
      </w:r>
      <w:r w:rsidRPr="00C02D2C">
        <w:rPr>
          <w:rFonts w:eastAsia="Arial" w:cstheme="minorHAnsi"/>
          <w:lang w:val="fr-FR"/>
        </w:rPr>
        <w:t>n</w:t>
      </w:r>
      <w:r w:rsidRPr="00C02D2C">
        <w:rPr>
          <w:rFonts w:eastAsia="Arial" w:cstheme="minorHAnsi"/>
          <w:spacing w:val="5"/>
          <w:lang w:val="fr-FR"/>
        </w:rPr>
        <w:t xml:space="preserve"> </w:t>
      </w:r>
      <w:r w:rsidRPr="00C02D2C">
        <w:rPr>
          <w:rFonts w:eastAsia="Arial" w:cstheme="minorHAnsi"/>
          <w:spacing w:val="-2"/>
          <w:lang w:val="fr-FR"/>
        </w:rPr>
        <w:t>d’u</w:t>
      </w:r>
      <w:r w:rsidRPr="00C02D2C">
        <w:rPr>
          <w:rFonts w:eastAsia="Arial" w:cstheme="minorHAnsi"/>
          <w:lang w:val="fr-FR"/>
        </w:rPr>
        <w:t>n</w:t>
      </w:r>
      <w:r w:rsidRPr="00C02D2C">
        <w:rPr>
          <w:rFonts w:eastAsia="Arial" w:cstheme="minorHAnsi"/>
          <w:spacing w:val="5"/>
          <w:lang w:val="fr-FR"/>
        </w:rPr>
        <w:t xml:space="preserve"> </w:t>
      </w:r>
      <w:r w:rsidRPr="00C02D2C">
        <w:rPr>
          <w:rFonts w:eastAsia="Arial" w:cstheme="minorHAnsi"/>
          <w:spacing w:val="3"/>
          <w:lang w:val="fr-FR"/>
        </w:rPr>
        <w:t>p</w:t>
      </w:r>
      <w:r w:rsidRPr="00C02D2C">
        <w:rPr>
          <w:rFonts w:eastAsia="Arial" w:cstheme="minorHAnsi"/>
          <w:spacing w:val="-2"/>
          <w:lang w:val="fr-FR"/>
        </w:rPr>
        <w:t>o</w:t>
      </w:r>
      <w:r w:rsidRPr="00C02D2C">
        <w:rPr>
          <w:rFonts w:eastAsia="Arial" w:cstheme="minorHAnsi"/>
          <w:lang w:val="fr-FR"/>
        </w:rPr>
        <w:t>r</w:t>
      </w:r>
      <w:r w:rsidRPr="00C02D2C">
        <w:rPr>
          <w:rFonts w:eastAsia="Arial" w:cstheme="minorHAnsi"/>
          <w:spacing w:val="1"/>
          <w:lang w:val="fr-FR"/>
        </w:rPr>
        <w:t>t</w:t>
      </w:r>
      <w:r w:rsidRPr="00C02D2C">
        <w:rPr>
          <w:rFonts w:eastAsia="Arial" w:cstheme="minorHAnsi"/>
          <w:spacing w:val="-2"/>
          <w:lang w:val="fr-FR"/>
        </w:rPr>
        <w:t>e</w:t>
      </w:r>
      <w:r w:rsidRPr="00C02D2C">
        <w:rPr>
          <w:rFonts w:eastAsia="Arial" w:cstheme="minorHAnsi"/>
          <w:spacing w:val="6"/>
          <w:lang w:val="fr-FR"/>
        </w:rPr>
        <w:t>f</w:t>
      </w:r>
      <w:r w:rsidRPr="00C02D2C">
        <w:rPr>
          <w:rFonts w:eastAsia="Arial" w:cstheme="minorHAnsi"/>
          <w:spacing w:val="-2"/>
          <w:lang w:val="fr-FR"/>
        </w:rPr>
        <w:t>e</w:t>
      </w:r>
      <w:r w:rsidRPr="00C02D2C">
        <w:rPr>
          <w:rFonts w:eastAsia="Arial" w:cstheme="minorHAnsi"/>
          <w:spacing w:val="-6"/>
          <w:lang w:val="fr-FR"/>
        </w:rPr>
        <w:t>u</w:t>
      </w:r>
      <w:r w:rsidRPr="00C02D2C">
        <w:rPr>
          <w:rFonts w:eastAsia="Arial" w:cstheme="minorHAnsi"/>
          <w:spacing w:val="3"/>
          <w:lang w:val="fr-FR"/>
        </w:rPr>
        <w:t>i</w:t>
      </w:r>
      <w:r w:rsidRPr="00C02D2C">
        <w:rPr>
          <w:rFonts w:eastAsia="Arial" w:cstheme="minorHAnsi"/>
          <w:spacing w:val="-2"/>
          <w:lang w:val="fr-FR"/>
        </w:rPr>
        <w:t>l</w:t>
      </w:r>
      <w:r w:rsidRPr="00C02D2C">
        <w:rPr>
          <w:rFonts w:eastAsia="Arial" w:cstheme="minorHAnsi"/>
          <w:spacing w:val="3"/>
          <w:lang w:val="fr-FR"/>
        </w:rPr>
        <w:t>l</w:t>
      </w:r>
      <w:r w:rsidRPr="00C02D2C">
        <w:rPr>
          <w:rFonts w:eastAsia="Arial" w:cstheme="minorHAnsi"/>
          <w:lang w:val="fr-FR"/>
        </w:rPr>
        <w:t>e</w:t>
      </w:r>
      <w:r w:rsidRPr="00C02D2C">
        <w:rPr>
          <w:rFonts w:eastAsia="Arial" w:cstheme="minorHAnsi"/>
          <w:spacing w:val="5"/>
          <w:lang w:val="fr-FR"/>
        </w:rPr>
        <w:t xml:space="preserve"> </w:t>
      </w:r>
      <w:r w:rsidRPr="00C02D2C">
        <w:rPr>
          <w:rFonts w:eastAsia="Arial" w:cstheme="minorHAnsi"/>
          <w:spacing w:val="-2"/>
          <w:lang w:val="fr-FR"/>
        </w:rPr>
        <w:t>d</w:t>
      </w:r>
      <w:r w:rsidRPr="00C02D2C">
        <w:rPr>
          <w:rFonts w:eastAsia="Arial" w:cstheme="minorHAnsi"/>
          <w:lang w:val="fr-FR"/>
        </w:rPr>
        <w:t xml:space="preserve">e </w:t>
      </w:r>
      <w:r w:rsidRPr="00C02D2C">
        <w:rPr>
          <w:rFonts w:eastAsia="Arial" w:cstheme="minorHAnsi"/>
          <w:spacing w:val="9"/>
          <w:lang w:val="fr-FR"/>
        </w:rPr>
        <w:t>v</w:t>
      </w:r>
      <w:r w:rsidRPr="00C02D2C">
        <w:rPr>
          <w:rFonts w:eastAsia="Arial" w:cstheme="minorHAnsi"/>
          <w:spacing w:val="-6"/>
          <w:lang w:val="fr-FR"/>
        </w:rPr>
        <w:t>a</w:t>
      </w:r>
      <w:r w:rsidRPr="00C02D2C">
        <w:rPr>
          <w:rFonts w:eastAsia="Arial" w:cstheme="minorHAnsi"/>
          <w:spacing w:val="3"/>
          <w:lang w:val="fr-FR"/>
        </w:rPr>
        <w:t>l</w:t>
      </w:r>
      <w:r w:rsidRPr="00C02D2C">
        <w:rPr>
          <w:rFonts w:eastAsia="Arial" w:cstheme="minorHAnsi"/>
          <w:spacing w:val="-2"/>
          <w:lang w:val="fr-FR"/>
        </w:rPr>
        <w:t>eu</w:t>
      </w:r>
      <w:r w:rsidRPr="00C02D2C">
        <w:rPr>
          <w:rFonts w:eastAsia="Arial" w:cstheme="minorHAnsi"/>
          <w:lang w:val="fr-FR"/>
        </w:rPr>
        <w:t>rs</w:t>
      </w:r>
      <w:r w:rsidRPr="00C02D2C">
        <w:rPr>
          <w:rFonts w:eastAsia="Arial" w:cstheme="minorHAnsi"/>
          <w:spacing w:val="2"/>
          <w:lang w:val="fr-FR"/>
        </w:rPr>
        <w:t xml:space="preserve"> </w:t>
      </w:r>
      <w:r w:rsidRPr="00C02D2C">
        <w:rPr>
          <w:rFonts w:eastAsia="Arial" w:cstheme="minorHAnsi"/>
          <w:spacing w:val="5"/>
          <w:lang w:val="fr-FR"/>
        </w:rPr>
        <w:t>m</w:t>
      </w:r>
      <w:r w:rsidRPr="00C02D2C">
        <w:rPr>
          <w:rFonts w:eastAsia="Arial" w:cstheme="minorHAnsi"/>
          <w:spacing w:val="-2"/>
          <w:lang w:val="fr-FR"/>
        </w:rPr>
        <w:t>o</w:t>
      </w:r>
      <w:r w:rsidRPr="00C02D2C">
        <w:rPr>
          <w:rFonts w:eastAsia="Arial" w:cstheme="minorHAnsi"/>
          <w:spacing w:val="-6"/>
          <w:lang w:val="fr-FR"/>
        </w:rPr>
        <w:t>b</w:t>
      </w:r>
      <w:r w:rsidRPr="00C02D2C">
        <w:rPr>
          <w:rFonts w:eastAsia="Arial" w:cstheme="minorHAnsi"/>
          <w:spacing w:val="3"/>
          <w:lang w:val="fr-FR"/>
        </w:rPr>
        <w:t>i</w:t>
      </w:r>
      <w:r w:rsidRPr="00C02D2C">
        <w:rPr>
          <w:rFonts w:eastAsia="Arial" w:cstheme="minorHAnsi"/>
          <w:spacing w:val="-2"/>
          <w:lang w:val="fr-FR"/>
        </w:rPr>
        <w:t>l</w:t>
      </w:r>
      <w:r w:rsidRPr="00C02D2C">
        <w:rPr>
          <w:rFonts w:eastAsia="Arial" w:cstheme="minorHAnsi"/>
          <w:spacing w:val="3"/>
          <w:lang w:val="fr-FR"/>
        </w:rPr>
        <w:t>i</w:t>
      </w:r>
      <w:r w:rsidRPr="00C02D2C">
        <w:rPr>
          <w:rFonts w:eastAsia="Arial" w:cstheme="minorHAnsi"/>
          <w:spacing w:val="-2"/>
          <w:lang w:val="fr-FR"/>
        </w:rPr>
        <w:t>è</w:t>
      </w:r>
      <w:r w:rsidRPr="00C02D2C">
        <w:rPr>
          <w:rFonts w:eastAsia="Arial" w:cstheme="minorHAnsi"/>
          <w:lang w:val="fr-FR"/>
        </w:rPr>
        <w:t>r</w:t>
      </w:r>
      <w:r w:rsidRPr="00C02D2C">
        <w:rPr>
          <w:rFonts w:eastAsia="Arial" w:cstheme="minorHAnsi"/>
          <w:spacing w:val="-2"/>
          <w:lang w:val="fr-FR"/>
        </w:rPr>
        <w:t>e</w:t>
      </w:r>
      <w:r w:rsidRPr="00C02D2C">
        <w:rPr>
          <w:rFonts w:eastAsia="Arial" w:cstheme="minorHAnsi"/>
          <w:lang w:val="fr-FR"/>
        </w:rPr>
        <w:t>s</w:t>
      </w:r>
      <w:r w:rsidRPr="00C02D2C">
        <w:rPr>
          <w:rFonts w:eastAsia="Arial" w:cstheme="minorHAnsi"/>
          <w:spacing w:val="6"/>
          <w:lang w:val="fr-FR"/>
        </w:rPr>
        <w:t xml:space="preserve"> </w:t>
      </w:r>
      <w:r w:rsidRPr="00C02D2C">
        <w:rPr>
          <w:rFonts w:eastAsia="Arial" w:cstheme="minorHAnsi"/>
          <w:spacing w:val="-2"/>
          <w:lang w:val="fr-FR"/>
        </w:rPr>
        <w:t>e</w:t>
      </w:r>
      <w:r w:rsidRPr="00C02D2C">
        <w:rPr>
          <w:rFonts w:eastAsia="Arial" w:cstheme="minorHAnsi"/>
          <w:lang w:val="fr-FR"/>
        </w:rPr>
        <w:t>t</w:t>
      </w:r>
      <w:r w:rsidRPr="00C02D2C">
        <w:rPr>
          <w:rFonts w:eastAsia="Arial" w:cstheme="minorHAnsi"/>
          <w:spacing w:val="8"/>
          <w:lang w:val="fr-FR"/>
        </w:rPr>
        <w:t xml:space="preserve"> </w:t>
      </w:r>
      <w:r w:rsidRPr="00C02D2C">
        <w:rPr>
          <w:rFonts w:eastAsia="Arial" w:cstheme="minorHAnsi"/>
          <w:spacing w:val="-2"/>
          <w:lang w:val="fr-FR"/>
        </w:rPr>
        <w:t>d</w:t>
      </w:r>
      <w:r w:rsidRPr="00C02D2C">
        <w:rPr>
          <w:rFonts w:eastAsia="Arial" w:cstheme="minorHAnsi"/>
          <w:lang w:val="fr-FR"/>
        </w:rPr>
        <w:t xml:space="preserve">e </w:t>
      </w:r>
      <w:r w:rsidRPr="00C02D2C">
        <w:rPr>
          <w:rFonts w:eastAsia="Arial" w:cstheme="minorHAnsi"/>
          <w:spacing w:val="1"/>
          <w:lang w:val="fr-FR"/>
        </w:rPr>
        <w:t>t</w:t>
      </w:r>
      <w:r w:rsidRPr="00C02D2C">
        <w:rPr>
          <w:rFonts w:eastAsia="Arial" w:cstheme="minorHAnsi"/>
          <w:spacing w:val="-2"/>
          <w:lang w:val="fr-FR"/>
        </w:rPr>
        <w:t>i</w:t>
      </w:r>
      <w:r w:rsidRPr="00C02D2C">
        <w:rPr>
          <w:rFonts w:eastAsia="Arial" w:cstheme="minorHAnsi"/>
          <w:spacing w:val="1"/>
          <w:lang w:val="fr-FR"/>
        </w:rPr>
        <w:t>t</w:t>
      </w:r>
      <w:r w:rsidRPr="00C02D2C">
        <w:rPr>
          <w:rFonts w:eastAsia="Arial" w:cstheme="minorHAnsi"/>
          <w:lang w:val="fr-FR"/>
        </w:rPr>
        <w:t>r</w:t>
      </w:r>
      <w:r w:rsidRPr="00C02D2C">
        <w:rPr>
          <w:rFonts w:eastAsia="Arial" w:cstheme="minorHAnsi"/>
          <w:spacing w:val="-2"/>
          <w:lang w:val="fr-FR"/>
        </w:rPr>
        <w:t>e</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no</w:t>
      </w:r>
      <w:r w:rsidRPr="00C02D2C">
        <w:rPr>
          <w:rFonts w:eastAsia="Arial" w:cstheme="minorHAnsi"/>
          <w:lang w:val="fr-FR"/>
        </w:rPr>
        <w:t>n</w:t>
      </w:r>
      <w:r w:rsidRPr="00C02D2C">
        <w:rPr>
          <w:rFonts w:eastAsia="Arial" w:cstheme="minorHAnsi"/>
          <w:spacing w:val="5"/>
          <w:lang w:val="fr-FR"/>
        </w:rPr>
        <w:t xml:space="preserve"> </w:t>
      </w:r>
      <w:r w:rsidRPr="00C02D2C">
        <w:rPr>
          <w:rFonts w:eastAsia="Arial" w:cstheme="minorHAnsi"/>
          <w:lang w:val="fr-FR"/>
        </w:rPr>
        <w:t>c</w:t>
      </w:r>
      <w:r w:rsidRPr="00C02D2C">
        <w:rPr>
          <w:rFonts w:eastAsia="Arial" w:cstheme="minorHAnsi"/>
          <w:spacing w:val="-2"/>
          <w:lang w:val="fr-FR"/>
        </w:rPr>
        <w:t>o</w:t>
      </w:r>
      <w:r w:rsidRPr="00C02D2C">
        <w:rPr>
          <w:rFonts w:eastAsia="Arial" w:cstheme="minorHAnsi"/>
          <w:spacing w:val="1"/>
          <w:lang w:val="fr-FR"/>
        </w:rPr>
        <w:t>t</w:t>
      </w:r>
      <w:r w:rsidRPr="00C02D2C">
        <w:rPr>
          <w:rFonts w:eastAsia="Arial" w:cstheme="minorHAnsi"/>
          <w:spacing w:val="3"/>
          <w:lang w:val="fr-FR"/>
        </w:rPr>
        <w:t>é</w:t>
      </w:r>
      <w:r w:rsidRPr="00C02D2C">
        <w:rPr>
          <w:rFonts w:eastAsia="Arial" w:cstheme="minorHAnsi"/>
          <w:lang w:val="fr-FR"/>
        </w:rPr>
        <w:t xml:space="preserve">s </w:t>
      </w:r>
      <w:r w:rsidRPr="00C02D2C">
        <w:rPr>
          <w:rFonts w:eastAsia="Arial" w:cstheme="minorHAnsi"/>
          <w:spacing w:val="-2"/>
          <w:lang w:val="fr-FR"/>
        </w:rPr>
        <w:t>béné</w:t>
      </w:r>
      <w:r w:rsidRPr="00C02D2C">
        <w:rPr>
          <w:rFonts w:eastAsia="Arial" w:cstheme="minorHAnsi"/>
          <w:spacing w:val="1"/>
          <w:lang w:val="fr-FR"/>
        </w:rPr>
        <w:t>f</w:t>
      </w:r>
      <w:r w:rsidRPr="00C02D2C">
        <w:rPr>
          <w:rFonts w:eastAsia="Arial" w:cstheme="minorHAnsi"/>
          <w:spacing w:val="3"/>
          <w:lang w:val="fr-FR"/>
        </w:rPr>
        <w:t>i</w:t>
      </w:r>
      <w:r w:rsidRPr="00C02D2C">
        <w:rPr>
          <w:rFonts w:eastAsia="Arial" w:cstheme="minorHAnsi"/>
          <w:spacing w:val="-5"/>
          <w:lang w:val="fr-FR"/>
        </w:rPr>
        <w:t>c</w:t>
      </w:r>
      <w:r w:rsidRPr="00C02D2C">
        <w:rPr>
          <w:rFonts w:eastAsia="Arial" w:cstheme="minorHAnsi"/>
          <w:spacing w:val="3"/>
          <w:lang w:val="fr-FR"/>
        </w:rPr>
        <w:t>i</w:t>
      </w:r>
      <w:r w:rsidRPr="00C02D2C">
        <w:rPr>
          <w:rFonts w:eastAsia="Arial" w:cstheme="minorHAnsi"/>
          <w:lang w:val="fr-FR"/>
        </w:rPr>
        <w:t>era</w:t>
      </w:r>
      <w:r w:rsidRPr="00C02D2C">
        <w:rPr>
          <w:rFonts w:eastAsia="Arial" w:cstheme="minorHAnsi"/>
          <w:spacing w:val="2"/>
          <w:lang w:val="fr-FR"/>
        </w:rPr>
        <w:t xml:space="preserve"> </w:t>
      </w:r>
      <w:r w:rsidRPr="00C02D2C">
        <w:rPr>
          <w:rFonts w:eastAsia="Arial" w:cstheme="minorHAnsi"/>
          <w:spacing w:val="-2"/>
          <w:lang w:val="fr-FR"/>
        </w:rPr>
        <w:t>d’u</w:t>
      </w:r>
      <w:r w:rsidRPr="00C02D2C">
        <w:rPr>
          <w:rFonts w:eastAsia="Arial" w:cstheme="minorHAnsi"/>
          <w:lang w:val="fr-FR"/>
        </w:rPr>
        <w:t>n</w:t>
      </w:r>
      <w:r w:rsidRPr="00C02D2C">
        <w:rPr>
          <w:rFonts w:eastAsia="Arial" w:cstheme="minorHAnsi"/>
          <w:spacing w:val="2"/>
          <w:lang w:val="fr-FR"/>
        </w:rPr>
        <w:t xml:space="preserve"> </w:t>
      </w:r>
      <w:r w:rsidRPr="00C02D2C">
        <w:rPr>
          <w:rFonts w:eastAsia="Arial" w:cstheme="minorHAnsi"/>
          <w:spacing w:val="-5"/>
          <w:lang w:val="fr-FR"/>
        </w:rPr>
        <w:t>s</w:t>
      </w:r>
      <w:r w:rsidRPr="00C02D2C">
        <w:rPr>
          <w:rFonts w:eastAsia="Arial" w:cstheme="minorHAnsi"/>
          <w:spacing w:val="1"/>
          <w:lang w:val="fr-FR"/>
        </w:rPr>
        <w:t>t</w:t>
      </w:r>
      <w:r w:rsidRPr="00C02D2C">
        <w:rPr>
          <w:rFonts w:eastAsia="Arial" w:cstheme="minorHAnsi"/>
          <w:spacing w:val="-2"/>
          <w:lang w:val="fr-FR"/>
        </w:rPr>
        <w:t>a</w:t>
      </w:r>
      <w:r w:rsidRPr="00C02D2C">
        <w:rPr>
          <w:rFonts w:eastAsia="Arial" w:cstheme="minorHAnsi"/>
          <w:spacing w:val="1"/>
          <w:lang w:val="fr-FR"/>
        </w:rPr>
        <w:t>t</w:t>
      </w:r>
      <w:r w:rsidRPr="00C02D2C">
        <w:rPr>
          <w:rFonts w:eastAsia="Arial" w:cstheme="minorHAnsi"/>
          <w:spacing w:val="-2"/>
          <w:lang w:val="fr-FR"/>
        </w:rPr>
        <w:t>u</w:t>
      </w:r>
      <w:r w:rsidRPr="00C02D2C">
        <w:rPr>
          <w:rFonts w:eastAsia="Arial" w:cstheme="minorHAnsi"/>
          <w:lang w:val="fr-FR"/>
        </w:rPr>
        <w:t xml:space="preserve">t </w:t>
      </w:r>
      <w:r w:rsidRPr="00C02D2C">
        <w:rPr>
          <w:rFonts w:eastAsia="Arial" w:cstheme="minorHAnsi"/>
          <w:spacing w:val="1"/>
          <w:lang w:val="fr-FR"/>
        </w:rPr>
        <w:t>f</w:t>
      </w:r>
      <w:r w:rsidRPr="00C02D2C">
        <w:rPr>
          <w:rFonts w:eastAsia="Arial" w:cstheme="minorHAnsi"/>
          <w:spacing w:val="3"/>
          <w:lang w:val="fr-FR"/>
        </w:rPr>
        <w:t>i</w:t>
      </w:r>
      <w:r w:rsidRPr="00C02D2C">
        <w:rPr>
          <w:rFonts w:eastAsia="Arial" w:cstheme="minorHAnsi"/>
          <w:spacing w:val="-5"/>
          <w:lang w:val="fr-FR"/>
        </w:rPr>
        <w:t>s</w:t>
      </w:r>
      <w:r w:rsidRPr="00C02D2C">
        <w:rPr>
          <w:rFonts w:eastAsia="Arial" w:cstheme="minorHAnsi"/>
          <w:lang w:val="fr-FR"/>
        </w:rPr>
        <w:t>c</w:t>
      </w:r>
      <w:r w:rsidRPr="00C02D2C">
        <w:rPr>
          <w:rFonts w:eastAsia="Arial" w:cstheme="minorHAnsi"/>
          <w:spacing w:val="-2"/>
          <w:lang w:val="fr-FR"/>
        </w:rPr>
        <w:t>a</w:t>
      </w:r>
      <w:r w:rsidRPr="00C02D2C">
        <w:rPr>
          <w:rFonts w:eastAsia="Arial" w:cstheme="minorHAnsi"/>
          <w:lang w:val="fr-FR"/>
        </w:rPr>
        <w:t>l</w:t>
      </w:r>
      <w:r w:rsidRPr="00C02D2C">
        <w:rPr>
          <w:rFonts w:eastAsia="Arial" w:cstheme="minorHAnsi"/>
          <w:spacing w:val="6"/>
          <w:lang w:val="fr-FR"/>
        </w:rPr>
        <w:t xml:space="preserve"> </w:t>
      </w:r>
      <w:r w:rsidRPr="00C02D2C">
        <w:rPr>
          <w:rFonts w:eastAsia="Arial" w:cstheme="minorHAnsi"/>
          <w:spacing w:val="-2"/>
          <w:lang w:val="fr-FR"/>
        </w:rPr>
        <w:t>p</w:t>
      </w:r>
      <w:r w:rsidRPr="00C02D2C">
        <w:rPr>
          <w:rFonts w:eastAsia="Arial" w:cstheme="minorHAnsi"/>
          <w:lang w:val="fr-FR"/>
        </w:rPr>
        <w:t>r</w:t>
      </w:r>
      <w:r w:rsidRPr="00C02D2C">
        <w:rPr>
          <w:rFonts w:eastAsia="Arial" w:cstheme="minorHAnsi"/>
          <w:spacing w:val="-6"/>
          <w:lang w:val="fr-FR"/>
        </w:rPr>
        <w:t>i</w:t>
      </w:r>
      <w:r w:rsidRPr="00C02D2C">
        <w:rPr>
          <w:rFonts w:eastAsia="Arial" w:cstheme="minorHAnsi"/>
          <w:spacing w:val="5"/>
          <w:lang w:val="fr-FR"/>
        </w:rPr>
        <w:t>v</w:t>
      </w:r>
      <w:r w:rsidRPr="00C02D2C">
        <w:rPr>
          <w:rFonts w:eastAsia="Arial" w:cstheme="minorHAnsi"/>
          <w:spacing w:val="-2"/>
          <w:lang w:val="fr-FR"/>
        </w:rPr>
        <w:t>i</w:t>
      </w:r>
      <w:r w:rsidRPr="00C02D2C">
        <w:rPr>
          <w:rFonts w:eastAsia="Arial" w:cstheme="minorHAnsi"/>
          <w:spacing w:val="3"/>
          <w:lang w:val="fr-FR"/>
        </w:rPr>
        <w:t>l</w:t>
      </w:r>
      <w:r w:rsidRPr="00C02D2C">
        <w:rPr>
          <w:rFonts w:eastAsia="Arial" w:cstheme="minorHAnsi"/>
          <w:spacing w:val="-2"/>
          <w:lang w:val="fr-FR"/>
        </w:rPr>
        <w:t>ég</w:t>
      </w:r>
      <w:r w:rsidRPr="00C02D2C">
        <w:rPr>
          <w:rFonts w:eastAsia="Arial" w:cstheme="minorHAnsi"/>
          <w:spacing w:val="3"/>
          <w:lang w:val="fr-FR"/>
        </w:rPr>
        <w:t>i</w:t>
      </w:r>
      <w:r w:rsidRPr="00C02D2C">
        <w:rPr>
          <w:rFonts w:eastAsia="Arial" w:cstheme="minorHAnsi"/>
          <w:spacing w:val="-6"/>
          <w:lang w:val="fr-FR"/>
        </w:rPr>
        <w:t>é</w:t>
      </w:r>
      <w:r w:rsidRPr="00C02D2C">
        <w:rPr>
          <w:rFonts w:eastAsia="Arial" w:cstheme="minorHAnsi"/>
          <w:lang w:val="fr-FR"/>
        </w:rPr>
        <w:t>.</w:t>
      </w:r>
      <w:r w:rsidRPr="00C02D2C">
        <w:rPr>
          <w:rFonts w:eastAsia="Arial" w:cstheme="minorHAnsi"/>
          <w:spacing w:val="5"/>
          <w:lang w:val="fr-FR"/>
        </w:rPr>
        <w:t xml:space="preserve"> </w:t>
      </w:r>
      <w:r w:rsidRPr="00C02D2C">
        <w:rPr>
          <w:rFonts w:eastAsia="Arial" w:cstheme="minorHAnsi"/>
          <w:lang w:val="fr-FR"/>
        </w:rPr>
        <w:t>En</w:t>
      </w:r>
      <w:r w:rsidRPr="00C02D2C">
        <w:rPr>
          <w:rFonts w:eastAsia="Arial" w:cstheme="minorHAnsi"/>
          <w:spacing w:val="2"/>
          <w:lang w:val="fr-FR"/>
        </w:rPr>
        <w:t xml:space="preserve"> </w:t>
      </w:r>
      <w:r w:rsidRPr="00C02D2C">
        <w:rPr>
          <w:rFonts w:eastAsia="Arial" w:cstheme="minorHAnsi"/>
          <w:spacing w:val="-5"/>
          <w:lang w:val="fr-FR"/>
        </w:rPr>
        <w:t>c</w:t>
      </w:r>
      <w:r w:rsidRPr="00C02D2C">
        <w:rPr>
          <w:rFonts w:eastAsia="Arial" w:cstheme="minorHAnsi"/>
          <w:spacing w:val="-2"/>
          <w:lang w:val="fr-FR"/>
        </w:rPr>
        <w:t>on</w:t>
      </w:r>
      <w:r w:rsidRPr="00C02D2C">
        <w:rPr>
          <w:rFonts w:eastAsia="Arial" w:cstheme="minorHAnsi"/>
          <w:spacing w:val="1"/>
          <w:lang w:val="fr-FR"/>
        </w:rPr>
        <w:t>t</w:t>
      </w:r>
      <w:r w:rsidRPr="00C02D2C">
        <w:rPr>
          <w:rFonts w:eastAsia="Arial" w:cstheme="minorHAnsi"/>
          <w:lang w:val="fr-FR"/>
        </w:rPr>
        <w:t>r</w:t>
      </w:r>
      <w:r w:rsidRPr="00C02D2C">
        <w:rPr>
          <w:rFonts w:eastAsia="Arial" w:cstheme="minorHAnsi"/>
          <w:spacing w:val="-2"/>
          <w:lang w:val="fr-FR"/>
        </w:rPr>
        <w:t>epa</w:t>
      </w:r>
      <w:r w:rsidRPr="00C02D2C">
        <w:rPr>
          <w:rFonts w:eastAsia="Arial" w:cstheme="minorHAnsi"/>
          <w:lang w:val="fr-FR"/>
        </w:rPr>
        <w:t>r</w:t>
      </w:r>
      <w:r w:rsidRPr="00C02D2C">
        <w:rPr>
          <w:rFonts w:eastAsia="Arial" w:cstheme="minorHAnsi"/>
          <w:spacing w:val="1"/>
          <w:lang w:val="fr-FR"/>
        </w:rPr>
        <w:t>t</w:t>
      </w:r>
      <w:r w:rsidRPr="00C02D2C">
        <w:rPr>
          <w:rFonts w:eastAsia="Arial" w:cstheme="minorHAnsi"/>
          <w:spacing w:val="3"/>
          <w:lang w:val="fr-FR"/>
        </w:rPr>
        <w:t>i</w:t>
      </w:r>
      <w:r w:rsidRPr="00C02D2C">
        <w:rPr>
          <w:rFonts w:eastAsia="Arial" w:cstheme="minorHAnsi"/>
          <w:spacing w:val="-2"/>
          <w:lang w:val="fr-FR"/>
        </w:rPr>
        <w:t>e</w:t>
      </w:r>
      <w:r w:rsidRPr="00C02D2C">
        <w:rPr>
          <w:rFonts w:eastAsia="Arial" w:cstheme="minorHAnsi"/>
          <w:lang w:val="fr-FR"/>
        </w:rPr>
        <w:t>,</w:t>
      </w:r>
      <w:r w:rsidRPr="00C02D2C">
        <w:rPr>
          <w:rFonts w:eastAsia="Arial" w:cstheme="minorHAnsi"/>
          <w:spacing w:val="5"/>
          <w:lang w:val="fr-FR"/>
        </w:rPr>
        <w:t xml:space="preserve"> </w:t>
      </w:r>
      <w:r w:rsidRPr="00C02D2C">
        <w:rPr>
          <w:rFonts w:eastAsia="Arial" w:cstheme="minorHAnsi"/>
          <w:spacing w:val="-6"/>
          <w:lang w:val="fr-FR"/>
        </w:rPr>
        <w:t>e</w:t>
      </w:r>
      <w:r w:rsidRPr="00C02D2C">
        <w:rPr>
          <w:rFonts w:eastAsia="Arial" w:cstheme="minorHAnsi"/>
          <w:spacing w:val="-2"/>
          <w:lang w:val="fr-FR"/>
        </w:rPr>
        <w:t>l</w:t>
      </w:r>
      <w:r w:rsidRPr="00C02D2C">
        <w:rPr>
          <w:rFonts w:eastAsia="Arial" w:cstheme="minorHAnsi"/>
          <w:spacing w:val="3"/>
          <w:lang w:val="fr-FR"/>
        </w:rPr>
        <w:t>l</w:t>
      </w:r>
      <w:r w:rsidRPr="00C02D2C">
        <w:rPr>
          <w:rFonts w:eastAsia="Arial" w:cstheme="minorHAnsi"/>
          <w:lang w:val="fr-FR"/>
        </w:rPr>
        <w:t>e</w:t>
      </w:r>
      <w:r w:rsidRPr="00C02D2C">
        <w:rPr>
          <w:rFonts w:eastAsia="Arial" w:cstheme="minorHAnsi"/>
          <w:spacing w:val="2"/>
          <w:lang w:val="fr-FR"/>
        </w:rPr>
        <w:t xml:space="preserve"> </w:t>
      </w:r>
      <w:r w:rsidRPr="00C02D2C">
        <w:rPr>
          <w:rFonts w:eastAsia="Arial" w:cstheme="minorHAnsi"/>
          <w:spacing w:val="-5"/>
          <w:lang w:val="fr-FR"/>
        </w:rPr>
        <w:t>s</w:t>
      </w:r>
      <w:r w:rsidRPr="00C02D2C">
        <w:rPr>
          <w:rFonts w:eastAsia="Arial" w:cstheme="minorHAnsi"/>
          <w:spacing w:val="-2"/>
          <w:lang w:val="fr-FR"/>
        </w:rPr>
        <w:t>’engag</w:t>
      </w:r>
      <w:r w:rsidRPr="00C02D2C">
        <w:rPr>
          <w:rFonts w:eastAsia="Arial" w:cstheme="minorHAnsi"/>
          <w:lang w:val="fr-FR"/>
        </w:rPr>
        <w:t>e</w:t>
      </w:r>
      <w:r w:rsidRPr="00C02D2C">
        <w:rPr>
          <w:rFonts w:eastAsia="Arial" w:cstheme="minorHAnsi"/>
          <w:spacing w:val="2"/>
          <w:lang w:val="fr-FR"/>
        </w:rPr>
        <w:t xml:space="preserve"> </w:t>
      </w:r>
      <w:r w:rsidRPr="00C02D2C">
        <w:rPr>
          <w:rFonts w:eastAsia="Arial" w:cstheme="minorHAnsi"/>
          <w:lang w:val="fr-FR"/>
        </w:rPr>
        <w:t>à</w:t>
      </w:r>
      <w:r w:rsidRPr="00C02D2C">
        <w:rPr>
          <w:rFonts w:eastAsia="Arial" w:cstheme="minorHAnsi"/>
          <w:spacing w:val="2"/>
          <w:lang w:val="fr-FR"/>
        </w:rPr>
        <w:t xml:space="preserve"> </w:t>
      </w:r>
      <w:r w:rsidRPr="00C02D2C">
        <w:rPr>
          <w:rFonts w:eastAsia="Arial" w:cstheme="minorHAnsi"/>
          <w:lang w:val="fr-FR"/>
        </w:rPr>
        <w:t>r</w:t>
      </w:r>
      <w:r w:rsidRPr="00C02D2C">
        <w:rPr>
          <w:rFonts w:eastAsia="Arial" w:cstheme="minorHAnsi"/>
          <w:spacing w:val="3"/>
          <w:lang w:val="fr-FR"/>
        </w:rPr>
        <w:t>e</w:t>
      </w:r>
      <w:r w:rsidRPr="00C02D2C">
        <w:rPr>
          <w:rFonts w:eastAsia="Arial" w:cstheme="minorHAnsi"/>
          <w:spacing w:val="-5"/>
          <w:lang w:val="fr-FR"/>
        </w:rPr>
        <w:t>s</w:t>
      </w:r>
      <w:r w:rsidRPr="00C02D2C">
        <w:rPr>
          <w:rFonts w:eastAsia="Arial" w:cstheme="minorHAnsi"/>
          <w:spacing w:val="3"/>
          <w:lang w:val="fr-FR"/>
        </w:rPr>
        <w:t>p</w:t>
      </w:r>
      <w:r w:rsidRPr="00C02D2C">
        <w:rPr>
          <w:rFonts w:eastAsia="Arial" w:cstheme="minorHAnsi"/>
          <w:spacing w:val="-2"/>
          <w:lang w:val="fr-FR"/>
        </w:rPr>
        <w:t>e</w:t>
      </w:r>
      <w:r w:rsidRPr="00C02D2C">
        <w:rPr>
          <w:rFonts w:eastAsia="Arial" w:cstheme="minorHAnsi"/>
          <w:lang w:val="fr-FR"/>
        </w:rPr>
        <w:t>c</w:t>
      </w:r>
      <w:r w:rsidRPr="00C02D2C">
        <w:rPr>
          <w:rFonts w:eastAsia="Arial" w:cstheme="minorHAnsi"/>
          <w:spacing w:val="1"/>
          <w:lang w:val="fr-FR"/>
        </w:rPr>
        <w:t>t</w:t>
      </w:r>
      <w:r w:rsidRPr="00C02D2C">
        <w:rPr>
          <w:rFonts w:eastAsia="Arial" w:cstheme="minorHAnsi"/>
          <w:spacing w:val="-2"/>
          <w:lang w:val="fr-FR"/>
        </w:rPr>
        <w:t>e</w:t>
      </w:r>
      <w:r w:rsidRPr="00C02D2C">
        <w:rPr>
          <w:rFonts w:eastAsia="Arial" w:cstheme="minorHAnsi"/>
          <w:lang w:val="fr-FR"/>
        </w:rPr>
        <w:t>r</w:t>
      </w:r>
      <w:r w:rsidRPr="00C02D2C">
        <w:rPr>
          <w:rFonts w:eastAsia="Arial" w:cstheme="minorHAnsi"/>
          <w:spacing w:val="4"/>
          <w:lang w:val="fr-FR"/>
        </w:rPr>
        <w:t xml:space="preserve"> </w:t>
      </w:r>
      <w:r w:rsidRPr="00C02D2C">
        <w:rPr>
          <w:rFonts w:eastAsia="Arial" w:cstheme="minorHAnsi"/>
          <w:lang w:val="fr-FR"/>
        </w:rPr>
        <w:t>c</w:t>
      </w:r>
      <w:r w:rsidRPr="00C02D2C">
        <w:rPr>
          <w:rFonts w:eastAsia="Arial" w:cstheme="minorHAnsi"/>
          <w:spacing w:val="-2"/>
          <w:lang w:val="fr-FR"/>
        </w:rPr>
        <w:t>e</w:t>
      </w:r>
      <w:r w:rsidRPr="00C02D2C">
        <w:rPr>
          <w:rFonts w:eastAsia="Arial" w:cstheme="minorHAnsi"/>
          <w:lang w:val="fr-FR"/>
        </w:rPr>
        <w:t>r</w:t>
      </w:r>
      <w:r w:rsidRPr="00C02D2C">
        <w:rPr>
          <w:rFonts w:eastAsia="Arial" w:cstheme="minorHAnsi"/>
          <w:spacing w:val="1"/>
          <w:lang w:val="fr-FR"/>
        </w:rPr>
        <w:t>t</w:t>
      </w:r>
      <w:r w:rsidRPr="00C02D2C">
        <w:rPr>
          <w:rFonts w:eastAsia="Arial" w:cstheme="minorHAnsi"/>
          <w:spacing w:val="-2"/>
          <w:lang w:val="fr-FR"/>
        </w:rPr>
        <w:t>a</w:t>
      </w:r>
      <w:r w:rsidRPr="00C02D2C">
        <w:rPr>
          <w:rFonts w:eastAsia="Arial" w:cstheme="minorHAnsi"/>
          <w:spacing w:val="3"/>
          <w:lang w:val="fr-FR"/>
        </w:rPr>
        <w:t>i</w:t>
      </w:r>
      <w:r w:rsidRPr="00C02D2C">
        <w:rPr>
          <w:rFonts w:eastAsia="Arial" w:cstheme="minorHAnsi"/>
          <w:spacing w:val="-2"/>
          <w:lang w:val="fr-FR"/>
        </w:rPr>
        <w:t>ne</w:t>
      </w:r>
      <w:r w:rsidRPr="00C02D2C">
        <w:rPr>
          <w:rFonts w:eastAsia="Arial" w:cstheme="minorHAnsi"/>
          <w:lang w:val="fr-FR"/>
        </w:rPr>
        <w:t>s c</w:t>
      </w:r>
      <w:r w:rsidRPr="00C02D2C">
        <w:rPr>
          <w:rFonts w:eastAsia="Arial" w:cstheme="minorHAnsi"/>
          <w:spacing w:val="-2"/>
          <w:lang w:val="fr-FR"/>
        </w:rPr>
        <w:t>ond</w:t>
      </w:r>
      <w:r w:rsidRPr="00C02D2C">
        <w:rPr>
          <w:rFonts w:eastAsia="Arial" w:cstheme="minorHAnsi"/>
          <w:spacing w:val="3"/>
          <w:lang w:val="fr-FR"/>
        </w:rPr>
        <w:t>i</w:t>
      </w:r>
      <w:r w:rsidRPr="00C02D2C">
        <w:rPr>
          <w:rFonts w:eastAsia="Arial" w:cstheme="minorHAnsi"/>
          <w:spacing w:val="-3"/>
          <w:lang w:val="fr-FR"/>
        </w:rPr>
        <w:t>t</w:t>
      </w:r>
      <w:r w:rsidRPr="00C02D2C">
        <w:rPr>
          <w:rFonts w:eastAsia="Arial" w:cstheme="minorHAnsi"/>
          <w:spacing w:val="3"/>
          <w:lang w:val="fr-FR"/>
        </w:rPr>
        <w:t>i</w:t>
      </w:r>
      <w:r w:rsidRPr="00C02D2C">
        <w:rPr>
          <w:rFonts w:eastAsia="Arial" w:cstheme="minorHAnsi"/>
          <w:spacing w:val="-2"/>
          <w:lang w:val="fr-FR"/>
        </w:rPr>
        <w:t>on</w:t>
      </w:r>
      <w:r w:rsidRPr="00C02D2C">
        <w:rPr>
          <w:rFonts w:eastAsia="Arial" w:cstheme="minorHAnsi"/>
          <w:spacing w:val="-5"/>
          <w:lang w:val="fr-FR"/>
        </w:rPr>
        <w:t>s</w:t>
      </w:r>
      <w:r w:rsidRPr="00C02D2C">
        <w:rPr>
          <w:rFonts w:eastAsia="Arial" w:cstheme="minorHAnsi"/>
          <w:lang w:val="fr-FR"/>
        </w:rPr>
        <w:t>,</w:t>
      </w:r>
      <w:r w:rsidRPr="00C02D2C">
        <w:rPr>
          <w:rFonts w:eastAsia="Arial" w:cstheme="minorHAnsi"/>
          <w:spacing w:val="8"/>
          <w:lang w:val="fr-FR"/>
        </w:rPr>
        <w:t xml:space="preserve"> </w:t>
      </w:r>
      <w:r w:rsidRPr="00C02D2C">
        <w:rPr>
          <w:rFonts w:eastAsia="Arial" w:cstheme="minorHAnsi"/>
          <w:spacing w:val="-2"/>
          <w:lang w:val="fr-FR"/>
        </w:rPr>
        <w:t>e</w:t>
      </w:r>
      <w:r w:rsidRPr="00C02D2C">
        <w:rPr>
          <w:rFonts w:eastAsia="Arial" w:cstheme="minorHAnsi"/>
          <w:lang w:val="fr-FR"/>
        </w:rPr>
        <w:t>t</w:t>
      </w:r>
      <w:r w:rsidRPr="00C02D2C">
        <w:rPr>
          <w:rFonts w:eastAsia="Arial" w:cstheme="minorHAnsi"/>
          <w:spacing w:val="8"/>
          <w:lang w:val="fr-FR"/>
        </w:rPr>
        <w:t xml:space="preserve"> </w:t>
      </w:r>
      <w:r w:rsidRPr="00C02D2C">
        <w:rPr>
          <w:rFonts w:eastAsia="Arial" w:cstheme="minorHAnsi"/>
          <w:spacing w:val="-2"/>
          <w:lang w:val="fr-FR"/>
        </w:rPr>
        <w:t>no</w:t>
      </w:r>
      <w:r w:rsidRPr="00C02D2C">
        <w:rPr>
          <w:rFonts w:eastAsia="Arial" w:cstheme="minorHAnsi"/>
          <w:spacing w:val="1"/>
          <w:lang w:val="fr-FR"/>
        </w:rPr>
        <w:t>t</w:t>
      </w:r>
      <w:r w:rsidRPr="00C02D2C">
        <w:rPr>
          <w:rFonts w:eastAsia="Arial" w:cstheme="minorHAnsi"/>
          <w:spacing w:val="-6"/>
          <w:lang w:val="fr-FR"/>
        </w:rPr>
        <w:t>a</w:t>
      </w:r>
      <w:r w:rsidRPr="00C02D2C">
        <w:rPr>
          <w:rFonts w:eastAsia="Arial" w:cstheme="minorHAnsi"/>
          <w:lang w:val="fr-FR"/>
        </w:rPr>
        <w:t>m</w:t>
      </w:r>
      <w:r w:rsidRPr="00C02D2C">
        <w:rPr>
          <w:rFonts w:eastAsia="Arial" w:cstheme="minorHAnsi"/>
          <w:spacing w:val="5"/>
          <w:lang w:val="fr-FR"/>
        </w:rPr>
        <w:t>m</w:t>
      </w:r>
      <w:r w:rsidRPr="00C02D2C">
        <w:rPr>
          <w:rFonts w:eastAsia="Arial" w:cstheme="minorHAnsi"/>
          <w:spacing w:val="-2"/>
          <w:lang w:val="fr-FR"/>
        </w:rPr>
        <w:t>en</w:t>
      </w:r>
      <w:r w:rsidRPr="00C02D2C">
        <w:rPr>
          <w:rFonts w:eastAsia="Arial" w:cstheme="minorHAnsi"/>
          <w:lang w:val="fr-FR"/>
        </w:rPr>
        <w:t>t</w:t>
      </w:r>
      <w:r w:rsidRPr="00C02D2C">
        <w:rPr>
          <w:rFonts w:eastAsia="Arial" w:cstheme="minorHAnsi"/>
          <w:spacing w:val="-1"/>
          <w:lang w:val="fr-FR"/>
        </w:rPr>
        <w:t xml:space="preserve"> </w:t>
      </w:r>
      <w:r w:rsidRPr="00C02D2C">
        <w:rPr>
          <w:rFonts w:eastAsia="Arial" w:cstheme="minorHAnsi"/>
          <w:spacing w:val="3"/>
          <w:lang w:val="fr-FR"/>
        </w:rPr>
        <w:t>l</w:t>
      </w:r>
      <w:r w:rsidRPr="00C02D2C">
        <w:rPr>
          <w:rFonts w:eastAsia="Arial" w:cstheme="minorHAnsi"/>
          <w:spacing w:val="-2"/>
          <w:lang w:val="fr-FR"/>
        </w:rPr>
        <w:t>e</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quo</w:t>
      </w:r>
      <w:r w:rsidRPr="00C02D2C">
        <w:rPr>
          <w:rFonts w:eastAsia="Arial" w:cstheme="minorHAnsi"/>
          <w:spacing w:val="1"/>
          <w:lang w:val="fr-FR"/>
        </w:rPr>
        <w:t>ta</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d</w:t>
      </w:r>
      <w:r w:rsidRPr="00C02D2C">
        <w:rPr>
          <w:rFonts w:eastAsia="Arial" w:cstheme="minorHAnsi"/>
          <w:lang w:val="fr-FR"/>
        </w:rPr>
        <w:t>e</w:t>
      </w:r>
      <w:r w:rsidRPr="00C02D2C">
        <w:rPr>
          <w:rFonts w:eastAsia="Arial" w:cstheme="minorHAnsi"/>
          <w:spacing w:val="5"/>
          <w:lang w:val="fr-FR"/>
        </w:rPr>
        <w:t xml:space="preserve"> </w:t>
      </w:r>
      <w:r w:rsidRPr="00C02D2C">
        <w:rPr>
          <w:rFonts w:eastAsia="Arial" w:cstheme="minorHAnsi"/>
          <w:spacing w:val="1"/>
          <w:lang w:val="fr-FR"/>
        </w:rPr>
        <w:t>t</w:t>
      </w:r>
      <w:r w:rsidRPr="00C02D2C">
        <w:rPr>
          <w:rFonts w:eastAsia="Arial" w:cstheme="minorHAnsi"/>
          <w:spacing w:val="3"/>
          <w:lang w:val="fr-FR"/>
        </w:rPr>
        <w:t>i</w:t>
      </w:r>
      <w:r w:rsidRPr="00C02D2C">
        <w:rPr>
          <w:rFonts w:eastAsia="Arial" w:cstheme="minorHAnsi"/>
          <w:spacing w:val="1"/>
          <w:lang w:val="fr-FR"/>
        </w:rPr>
        <w:t>t</w:t>
      </w:r>
      <w:r w:rsidRPr="00C02D2C">
        <w:rPr>
          <w:rFonts w:eastAsia="Arial" w:cstheme="minorHAnsi"/>
          <w:lang w:val="fr-FR"/>
        </w:rPr>
        <w:t>r</w:t>
      </w:r>
      <w:r w:rsidRPr="00C02D2C">
        <w:rPr>
          <w:rFonts w:eastAsia="Arial" w:cstheme="minorHAnsi"/>
          <w:spacing w:val="-2"/>
          <w:lang w:val="fr-FR"/>
        </w:rPr>
        <w:t>e</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él</w:t>
      </w:r>
      <w:r w:rsidRPr="00C02D2C">
        <w:rPr>
          <w:rFonts w:eastAsia="Arial" w:cstheme="minorHAnsi"/>
          <w:spacing w:val="3"/>
          <w:lang w:val="fr-FR"/>
        </w:rPr>
        <w:t>i</w:t>
      </w:r>
      <w:r w:rsidRPr="00C02D2C">
        <w:rPr>
          <w:rFonts w:eastAsia="Arial" w:cstheme="minorHAnsi"/>
          <w:spacing w:val="-2"/>
          <w:lang w:val="fr-FR"/>
        </w:rPr>
        <w:t>g</w:t>
      </w:r>
      <w:r w:rsidRPr="00C02D2C">
        <w:rPr>
          <w:rFonts w:eastAsia="Arial" w:cstheme="minorHAnsi"/>
          <w:spacing w:val="3"/>
          <w:lang w:val="fr-FR"/>
        </w:rPr>
        <w:t>i</w:t>
      </w:r>
      <w:r w:rsidRPr="00C02D2C">
        <w:rPr>
          <w:rFonts w:eastAsia="Arial" w:cstheme="minorHAnsi"/>
          <w:spacing w:val="-6"/>
          <w:lang w:val="fr-FR"/>
        </w:rPr>
        <w:t>b</w:t>
      </w:r>
      <w:r w:rsidRPr="00C02D2C">
        <w:rPr>
          <w:rFonts w:eastAsia="Arial" w:cstheme="minorHAnsi"/>
          <w:spacing w:val="3"/>
          <w:lang w:val="fr-FR"/>
        </w:rPr>
        <w:t>l</w:t>
      </w:r>
      <w:r w:rsidRPr="00C02D2C">
        <w:rPr>
          <w:rFonts w:eastAsia="Arial" w:cstheme="minorHAnsi"/>
          <w:spacing w:val="-2"/>
          <w:lang w:val="fr-FR"/>
        </w:rPr>
        <w:t>e</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dé</w:t>
      </w:r>
      <w:r w:rsidRPr="00C02D2C">
        <w:rPr>
          <w:rFonts w:eastAsia="Arial" w:cstheme="minorHAnsi"/>
          <w:spacing w:val="1"/>
          <w:lang w:val="fr-FR"/>
        </w:rPr>
        <w:t>f</w:t>
      </w:r>
      <w:r w:rsidRPr="00C02D2C">
        <w:rPr>
          <w:rFonts w:eastAsia="Arial" w:cstheme="minorHAnsi"/>
          <w:spacing w:val="3"/>
          <w:lang w:val="fr-FR"/>
        </w:rPr>
        <w:t>i</w:t>
      </w:r>
      <w:r w:rsidRPr="00C02D2C">
        <w:rPr>
          <w:rFonts w:eastAsia="Arial" w:cstheme="minorHAnsi"/>
          <w:spacing w:val="-2"/>
          <w:lang w:val="fr-FR"/>
        </w:rPr>
        <w:t>n</w:t>
      </w:r>
      <w:r w:rsidRPr="00C02D2C">
        <w:rPr>
          <w:rFonts w:eastAsia="Arial" w:cstheme="minorHAnsi"/>
          <w:spacing w:val="3"/>
          <w:lang w:val="fr-FR"/>
        </w:rPr>
        <w:t>i</w:t>
      </w:r>
      <w:r w:rsidRPr="00C02D2C">
        <w:rPr>
          <w:rFonts w:eastAsia="Arial" w:cstheme="minorHAnsi"/>
          <w:lang w:val="fr-FR"/>
        </w:rPr>
        <w:t>s</w:t>
      </w:r>
      <w:r w:rsidRPr="00C02D2C">
        <w:rPr>
          <w:rFonts w:eastAsia="Arial" w:cstheme="minorHAnsi"/>
          <w:spacing w:val="2"/>
          <w:lang w:val="fr-FR"/>
        </w:rPr>
        <w:t xml:space="preserve"> </w:t>
      </w:r>
      <w:r w:rsidRPr="00C02D2C">
        <w:rPr>
          <w:rFonts w:eastAsia="Arial" w:cstheme="minorHAnsi"/>
          <w:spacing w:val="-2"/>
          <w:lang w:val="fr-FR"/>
        </w:rPr>
        <w:t>pa</w:t>
      </w:r>
      <w:r w:rsidRPr="00C02D2C">
        <w:rPr>
          <w:rFonts w:eastAsia="Arial" w:cstheme="minorHAnsi"/>
          <w:lang w:val="fr-FR"/>
        </w:rPr>
        <w:t>r</w:t>
      </w:r>
      <w:r w:rsidRPr="00C02D2C">
        <w:rPr>
          <w:rFonts w:eastAsia="Arial" w:cstheme="minorHAnsi"/>
          <w:spacing w:val="2"/>
          <w:lang w:val="fr-FR"/>
        </w:rPr>
        <w:t xml:space="preserve"> </w:t>
      </w:r>
      <w:r w:rsidRPr="00C02D2C">
        <w:rPr>
          <w:rFonts w:eastAsia="Arial" w:cstheme="minorHAnsi"/>
          <w:spacing w:val="3"/>
          <w:lang w:val="fr-FR"/>
        </w:rPr>
        <w:t>l</w:t>
      </w:r>
      <w:r w:rsidRPr="00C02D2C">
        <w:rPr>
          <w:rFonts w:eastAsia="Arial" w:cstheme="minorHAnsi"/>
          <w:spacing w:val="-2"/>
          <w:lang w:val="fr-FR"/>
        </w:rPr>
        <w:t>’a</w:t>
      </w:r>
      <w:r w:rsidRPr="00C02D2C">
        <w:rPr>
          <w:rFonts w:eastAsia="Arial" w:cstheme="minorHAnsi"/>
          <w:lang w:val="fr-FR"/>
        </w:rPr>
        <w:t>r</w:t>
      </w:r>
      <w:r w:rsidRPr="00C02D2C">
        <w:rPr>
          <w:rFonts w:eastAsia="Arial" w:cstheme="minorHAnsi"/>
          <w:spacing w:val="-3"/>
          <w:lang w:val="fr-FR"/>
        </w:rPr>
        <w:t>t</w:t>
      </w:r>
      <w:r w:rsidRPr="00C02D2C">
        <w:rPr>
          <w:rFonts w:eastAsia="Arial" w:cstheme="minorHAnsi"/>
          <w:spacing w:val="3"/>
          <w:lang w:val="fr-FR"/>
        </w:rPr>
        <w:t>i</w:t>
      </w:r>
      <w:r w:rsidRPr="00C02D2C">
        <w:rPr>
          <w:rFonts w:eastAsia="Arial" w:cstheme="minorHAnsi"/>
          <w:spacing w:val="-5"/>
          <w:lang w:val="fr-FR"/>
        </w:rPr>
        <w:t>c</w:t>
      </w:r>
      <w:r w:rsidRPr="00C02D2C">
        <w:rPr>
          <w:rFonts w:eastAsia="Arial" w:cstheme="minorHAnsi"/>
          <w:spacing w:val="3"/>
          <w:lang w:val="fr-FR"/>
        </w:rPr>
        <w:t>l</w:t>
      </w:r>
      <w:r w:rsidRPr="00C02D2C">
        <w:rPr>
          <w:rFonts w:eastAsia="Arial" w:cstheme="minorHAnsi"/>
          <w:lang w:val="fr-FR"/>
        </w:rPr>
        <w:t>e</w:t>
      </w:r>
      <w:r w:rsidRPr="00C02D2C">
        <w:rPr>
          <w:rFonts w:eastAsia="Arial" w:cstheme="minorHAnsi"/>
          <w:spacing w:val="5"/>
          <w:lang w:val="fr-FR"/>
        </w:rPr>
        <w:t xml:space="preserve"> </w:t>
      </w:r>
      <w:r w:rsidRPr="00C02D2C">
        <w:rPr>
          <w:rFonts w:eastAsia="Arial" w:cstheme="minorHAnsi"/>
          <w:spacing w:val="-2"/>
          <w:lang w:val="fr-FR"/>
        </w:rPr>
        <w:t>1e</w:t>
      </w:r>
      <w:r w:rsidRPr="00C02D2C">
        <w:rPr>
          <w:rFonts w:eastAsia="Arial" w:cstheme="minorHAnsi"/>
          <w:lang w:val="fr-FR"/>
        </w:rPr>
        <w:t>r</w:t>
      </w:r>
      <w:r w:rsidRPr="00C02D2C">
        <w:rPr>
          <w:rFonts w:eastAsia="Arial" w:cstheme="minorHAnsi"/>
          <w:spacing w:val="11"/>
          <w:lang w:val="fr-FR"/>
        </w:rPr>
        <w:t xml:space="preserve"> </w:t>
      </w:r>
      <w:r w:rsidRPr="00C02D2C">
        <w:rPr>
          <w:rFonts w:eastAsia="Arial" w:cstheme="minorHAnsi"/>
          <w:lang w:val="fr-FR"/>
        </w:rPr>
        <w:t xml:space="preserve">-1 </w:t>
      </w:r>
      <w:r w:rsidRPr="00C02D2C">
        <w:rPr>
          <w:rFonts w:eastAsia="Arial" w:cstheme="minorHAnsi"/>
          <w:spacing w:val="5"/>
          <w:lang w:val="fr-FR"/>
        </w:rPr>
        <w:t>m</w:t>
      </w:r>
      <w:r w:rsidRPr="00C02D2C">
        <w:rPr>
          <w:rFonts w:eastAsia="Arial" w:cstheme="minorHAnsi"/>
          <w:spacing w:val="-2"/>
          <w:lang w:val="fr-FR"/>
        </w:rPr>
        <w:t>o</w:t>
      </w:r>
      <w:r w:rsidRPr="00C02D2C">
        <w:rPr>
          <w:rFonts w:eastAsia="Arial" w:cstheme="minorHAnsi"/>
          <w:spacing w:val="-6"/>
          <w:lang w:val="fr-FR"/>
        </w:rPr>
        <w:t>d</w:t>
      </w:r>
      <w:r w:rsidRPr="00C02D2C">
        <w:rPr>
          <w:rFonts w:eastAsia="Arial" w:cstheme="minorHAnsi"/>
          <w:spacing w:val="-2"/>
          <w:lang w:val="fr-FR"/>
        </w:rPr>
        <w:t>i</w:t>
      </w:r>
      <w:r w:rsidRPr="00C02D2C">
        <w:rPr>
          <w:rFonts w:eastAsia="Arial" w:cstheme="minorHAnsi"/>
          <w:spacing w:val="1"/>
          <w:lang w:val="fr-FR"/>
        </w:rPr>
        <w:t>f</w:t>
      </w:r>
      <w:r w:rsidRPr="00C02D2C">
        <w:rPr>
          <w:rFonts w:eastAsia="Arial" w:cstheme="minorHAnsi"/>
          <w:spacing w:val="3"/>
          <w:lang w:val="fr-FR"/>
        </w:rPr>
        <w:t>i</w:t>
      </w:r>
      <w:r w:rsidRPr="00C02D2C">
        <w:rPr>
          <w:rFonts w:eastAsia="Arial" w:cstheme="minorHAnsi"/>
          <w:lang w:val="fr-FR"/>
        </w:rPr>
        <w:t>é</w:t>
      </w:r>
      <w:r w:rsidRPr="00C02D2C">
        <w:rPr>
          <w:rFonts w:eastAsia="Arial" w:cstheme="minorHAnsi"/>
          <w:spacing w:val="5"/>
          <w:lang w:val="fr-FR"/>
        </w:rPr>
        <w:t xml:space="preserve"> </w:t>
      </w:r>
      <w:r w:rsidRPr="00C02D2C">
        <w:rPr>
          <w:rFonts w:eastAsia="Arial" w:cstheme="minorHAnsi"/>
          <w:spacing w:val="-2"/>
          <w:lang w:val="fr-FR"/>
        </w:rPr>
        <w:t>d</w:t>
      </w:r>
      <w:r w:rsidRPr="00C02D2C">
        <w:rPr>
          <w:rFonts w:eastAsia="Arial" w:cstheme="minorHAnsi"/>
          <w:lang w:val="fr-FR"/>
        </w:rPr>
        <w:t xml:space="preserve">e </w:t>
      </w:r>
      <w:r w:rsidRPr="00C02D2C">
        <w:rPr>
          <w:rFonts w:eastAsia="Arial" w:cstheme="minorHAnsi"/>
          <w:spacing w:val="3"/>
          <w:lang w:val="fr-FR"/>
        </w:rPr>
        <w:t>l</w:t>
      </w:r>
      <w:r w:rsidRPr="00C02D2C">
        <w:rPr>
          <w:rFonts w:eastAsia="Arial" w:cstheme="minorHAnsi"/>
          <w:lang w:val="fr-FR"/>
        </w:rPr>
        <w:t xml:space="preserve">a </w:t>
      </w:r>
      <w:r w:rsidRPr="00C02D2C">
        <w:rPr>
          <w:rFonts w:eastAsia="Arial" w:cstheme="minorHAnsi"/>
          <w:spacing w:val="3"/>
          <w:lang w:val="fr-FR"/>
        </w:rPr>
        <w:t>l</w:t>
      </w:r>
      <w:r w:rsidRPr="00C02D2C">
        <w:rPr>
          <w:rFonts w:eastAsia="Arial" w:cstheme="minorHAnsi"/>
          <w:spacing w:val="-6"/>
          <w:lang w:val="fr-FR"/>
        </w:rPr>
        <w:t>o</w:t>
      </w:r>
      <w:r w:rsidRPr="00C02D2C">
        <w:rPr>
          <w:rFonts w:eastAsia="Arial" w:cstheme="minorHAnsi"/>
          <w:lang w:val="fr-FR"/>
        </w:rPr>
        <w:t>i</w:t>
      </w:r>
      <w:r w:rsidRPr="00C02D2C">
        <w:rPr>
          <w:rFonts w:eastAsia="Arial" w:cstheme="minorHAnsi"/>
          <w:spacing w:val="10"/>
          <w:lang w:val="fr-FR"/>
        </w:rPr>
        <w:t xml:space="preserve"> </w:t>
      </w:r>
      <w:r w:rsidRPr="00C02D2C">
        <w:rPr>
          <w:rFonts w:eastAsia="Arial" w:cstheme="minorHAnsi"/>
          <w:spacing w:val="-2"/>
          <w:lang w:val="fr-FR"/>
        </w:rPr>
        <w:t>n</w:t>
      </w:r>
      <w:r w:rsidRPr="00C02D2C">
        <w:rPr>
          <w:rFonts w:eastAsia="Arial" w:cstheme="minorHAnsi"/>
          <w:spacing w:val="1"/>
          <w:lang w:val="fr-FR"/>
        </w:rPr>
        <w:t>°</w:t>
      </w:r>
      <w:r w:rsidRPr="00C02D2C">
        <w:rPr>
          <w:rFonts w:eastAsia="Arial" w:cstheme="minorHAnsi"/>
          <w:spacing w:val="-2"/>
          <w:lang w:val="fr-FR"/>
        </w:rPr>
        <w:t>8</w:t>
      </w:r>
      <w:r w:rsidRPr="00C02D2C">
        <w:rPr>
          <w:rFonts w:eastAsia="Arial" w:cstheme="minorHAnsi"/>
          <w:spacing w:val="1"/>
          <w:lang w:val="fr-FR"/>
        </w:rPr>
        <w:t>5</w:t>
      </w:r>
      <w:r w:rsidRPr="00C02D2C">
        <w:rPr>
          <w:rFonts w:eastAsia="Arial" w:cstheme="minorHAnsi"/>
          <w:lang w:val="fr-FR"/>
        </w:rPr>
        <w:t>-</w:t>
      </w:r>
      <w:r w:rsidRPr="00C02D2C">
        <w:rPr>
          <w:rFonts w:eastAsia="Arial" w:cstheme="minorHAnsi"/>
          <w:spacing w:val="-2"/>
          <w:lang w:val="fr-FR"/>
        </w:rPr>
        <w:t>69</w:t>
      </w:r>
      <w:r w:rsidRPr="00C02D2C">
        <w:rPr>
          <w:rFonts w:eastAsia="Arial" w:cstheme="minorHAnsi"/>
          <w:lang w:val="fr-FR"/>
        </w:rPr>
        <w:t xml:space="preserve">5 </w:t>
      </w:r>
      <w:r w:rsidRPr="00C02D2C">
        <w:rPr>
          <w:rFonts w:eastAsia="Arial" w:cstheme="minorHAnsi"/>
          <w:spacing w:val="-2"/>
          <w:lang w:val="fr-FR"/>
        </w:rPr>
        <w:t>d</w:t>
      </w:r>
      <w:r w:rsidRPr="00C02D2C">
        <w:rPr>
          <w:rFonts w:eastAsia="Arial" w:cstheme="minorHAnsi"/>
          <w:lang w:val="fr-FR"/>
        </w:rPr>
        <w:t xml:space="preserve">u </w:t>
      </w:r>
      <w:r w:rsidRPr="00C02D2C">
        <w:rPr>
          <w:rFonts w:eastAsia="Arial" w:cstheme="minorHAnsi"/>
          <w:spacing w:val="-2"/>
          <w:lang w:val="fr-FR"/>
        </w:rPr>
        <w:t>1</w:t>
      </w:r>
      <w:r w:rsidRPr="00C02D2C">
        <w:rPr>
          <w:rFonts w:eastAsia="Arial" w:cstheme="minorHAnsi"/>
          <w:lang w:val="fr-FR"/>
        </w:rPr>
        <w:t xml:space="preserve">1 </w:t>
      </w:r>
      <w:r w:rsidRPr="00C02D2C">
        <w:rPr>
          <w:rFonts w:eastAsia="Arial" w:cstheme="minorHAnsi"/>
          <w:spacing w:val="3"/>
          <w:lang w:val="fr-FR"/>
        </w:rPr>
        <w:t>j</w:t>
      </w:r>
      <w:r w:rsidRPr="00C02D2C">
        <w:rPr>
          <w:rFonts w:eastAsia="Arial" w:cstheme="minorHAnsi"/>
          <w:spacing w:val="-2"/>
          <w:lang w:val="fr-FR"/>
        </w:rPr>
        <w:t>uil</w:t>
      </w:r>
      <w:r w:rsidRPr="00C02D2C">
        <w:rPr>
          <w:rFonts w:eastAsia="Arial" w:cstheme="minorHAnsi"/>
          <w:spacing w:val="3"/>
          <w:lang w:val="fr-FR"/>
        </w:rPr>
        <w:t>l</w:t>
      </w:r>
      <w:r w:rsidRPr="00C02D2C">
        <w:rPr>
          <w:rFonts w:eastAsia="Arial" w:cstheme="minorHAnsi"/>
          <w:spacing w:val="-2"/>
          <w:lang w:val="fr-FR"/>
        </w:rPr>
        <w:t>e</w:t>
      </w:r>
      <w:r w:rsidRPr="00C02D2C">
        <w:rPr>
          <w:rFonts w:eastAsia="Arial" w:cstheme="minorHAnsi"/>
          <w:lang w:val="fr-FR"/>
        </w:rPr>
        <w:t>t</w:t>
      </w:r>
      <w:r w:rsidRPr="00C02D2C">
        <w:rPr>
          <w:rFonts w:eastAsia="Arial" w:cstheme="minorHAnsi"/>
          <w:spacing w:val="-1"/>
          <w:lang w:val="fr-FR"/>
        </w:rPr>
        <w:t xml:space="preserve"> </w:t>
      </w:r>
      <w:r w:rsidRPr="00C02D2C">
        <w:rPr>
          <w:rFonts w:eastAsia="Arial" w:cstheme="minorHAnsi"/>
          <w:spacing w:val="-2"/>
          <w:lang w:val="fr-FR"/>
        </w:rPr>
        <w:t>1985</w:t>
      </w:r>
      <w:r w:rsidRPr="00C02D2C">
        <w:rPr>
          <w:rFonts w:eastAsia="Arial" w:cstheme="minorHAnsi"/>
          <w:lang w:val="fr-FR"/>
        </w:rPr>
        <w:t>.</w:t>
      </w:r>
    </w:p>
    <w:p w:rsidR="00C02D2C" w:rsidRPr="00C02D2C" w:rsidRDefault="00C02D2C" w:rsidP="00C02D2C">
      <w:pPr>
        <w:spacing w:after="0" w:line="240" w:lineRule="auto"/>
        <w:ind w:right="52"/>
        <w:jc w:val="both"/>
        <w:rPr>
          <w:rFonts w:eastAsia="Arial" w:cstheme="minorHAnsi"/>
          <w:lang w:val="fr-FR"/>
        </w:rPr>
      </w:pPr>
    </w:p>
    <w:p w:rsidR="00C02D2C" w:rsidRPr="00C02D2C" w:rsidRDefault="00C02D2C" w:rsidP="00C02D2C">
      <w:pPr>
        <w:ind w:left="708"/>
        <w:jc w:val="both"/>
        <w:rPr>
          <w:rFonts w:cstheme="minorHAnsi"/>
          <w:lang w:val="fr-FR"/>
        </w:rPr>
      </w:pPr>
      <w:r w:rsidRPr="00C36A72">
        <w:rPr>
          <w:rFonts w:cstheme="minorHAnsi"/>
          <w:lang w:val="fr-FR"/>
        </w:rPr>
        <w:t>A cet égard, la société HBC capital a pris la précaution d’obtenir une opinion fiscale de la part de la société d’avocats De Gaulle Fleurance &amp; Associés.</w:t>
      </w: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Si les investissements envisagés ont bien entendu été paramétrés afin de respecter les critères d’éligibilité imposés par ces dispositions, la Société HBC CAPITAL ne peut garantir qu’elle ne sera pas amenée à renoncer à la réalisation d’un investissement, ou à devoir céder par anticipation une ou plusieurs participations, de manière à conserver le bénéfice de ce régime.</w:t>
      </w:r>
    </w:p>
    <w:p w:rsidR="00C02D2C" w:rsidRPr="00C02D2C" w:rsidRDefault="00C02D2C" w:rsidP="00C02D2C">
      <w:pPr>
        <w:spacing w:after="0" w:line="240" w:lineRule="auto"/>
        <w:ind w:right="52"/>
        <w:jc w:val="both"/>
        <w:rPr>
          <w:rFonts w:cstheme="minorHAnsi"/>
          <w:lang w:val="fr-FR"/>
        </w:rPr>
      </w:pP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Il est par ailleurs souligné qu’une SCR ne peut recourir à l’emprunt que dans la limite de 10 % de son actif  net  comptable,  ce  qui  empêchera  la  société  HBC CAPITAL de  disposer  d’une  importante  réserve  de financement en cas de nécessité. La société HBC CAPITAL pourra donc ne pas être en mesure de participer à un investissement si ses ressources propres ne sont pas suffisantes pour financer celui-ci.</w:t>
      </w:r>
    </w:p>
    <w:p w:rsidR="00C02D2C" w:rsidRPr="00C02D2C" w:rsidRDefault="00C02D2C" w:rsidP="00C02D2C">
      <w:pPr>
        <w:spacing w:after="0" w:line="240" w:lineRule="auto"/>
        <w:ind w:right="52"/>
        <w:jc w:val="both"/>
        <w:rPr>
          <w:rFonts w:cstheme="minorHAnsi"/>
          <w:lang w:val="fr-FR"/>
        </w:rPr>
      </w:pP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 xml:space="preserve">Du fait de son statut de SCR, la société HBC CAPITAL sera systématiquement minoritaire (seuil de détention inférieur à 40% des droits de vote) au capital des sociétés devant être retenues dans son quota d’investissement et ne sera pas impliquée dans les décisions de gestion </w:t>
      </w:r>
      <w:r w:rsidRPr="00C36A72">
        <w:rPr>
          <w:rFonts w:cstheme="minorHAnsi"/>
          <w:lang w:val="fr-FR"/>
        </w:rPr>
        <w:t>quotidienne. Par contre, la société HBC CAPITAL s’appuiera systématiquement sur un pacte d’actionnaires qui lui permettra de disposer de prérogatives de contrôle de ses investissements et pourra ainsi prendre part aux décisions importantes de la gestion des participations</w:t>
      </w:r>
      <w:r w:rsidR="00C36A72" w:rsidRPr="00C36A72">
        <w:rPr>
          <w:rFonts w:cstheme="minorHAnsi"/>
          <w:lang w:val="fr-FR"/>
        </w:rPr>
        <w:t>.</w:t>
      </w:r>
    </w:p>
    <w:p w:rsidR="00C02D2C" w:rsidRPr="00C02D2C" w:rsidRDefault="00C02D2C" w:rsidP="00C02D2C">
      <w:pPr>
        <w:spacing w:after="0" w:line="240" w:lineRule="auto"/>
        <w:ind w:right="52"/>
        <w:jc w:val="both"/>
        <w:rPr>
          <w:rFonts w:cstheme="minorHAnsi"/>
          <w:lang w:val="fr-FR"/>
        </w:rPr>
      </w:pP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Bien que l’option pour ce régime implique que la société HBC CAPITAL apportera la plus grande attention au respect des contraintes auxquelles il est subordonné, le non-respect de certaines conditions pourra entraîner la perte du régime fiscal de SCR et, par voie de conséquence, la perte rétroactive des avantages fiscaux dont ont bénéficié les actionnaires.</w:t>
      </w:r>
    </w:p>
    <w:p w:rsidR="00C02D2C" w:rsidRPr="00C02D2C" w:rsidRDefault="00C02D2C" w:rsidP="00C02D2C">
      <w:pPr>
        <w:spacing w:after="0" w:line="240" w:lineRule="auto"/>
        <w:ind w:right="52"/>
        <w:jc w:val="both"/>
        <w:rPr>
          <w:rFonts w:cstheme="minorHAnsi"/>
          <w:lang w:val="fr-FR"/>
        </w:rPr>
      </w:pP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 xml:space="preserve">En outre, le régime juridique et fiscal des SCR a subi dans le passé de fréquentes </w:t>
      </w:r>
      <w:proofErr w:type="gramStart"/>
      <w:r w:rsidRPr="00C02D2C">
        <w:rPr>
          <w:rFonts w:cstheme="minorHAnsi"/>
          <w:lang w:val="fr-FR"/>
        </w:rPr>
        <w:t>modifications</w:t>
      </w:r>
      <w:proofErr w:type="gramEnd"/>
      <w:r w:rsidRPr="00C02D2C">
        <w:rPr>
          <w:rFonts w:cstheme="minorHAnsi"/>
          <w:lang w:val="fr-FR"/>
        </w:rPr>
        <w:t>. La Société ne peut donc garantir qu’elle ne sera pas soumise à des contraintes de gestion supplémentaires par rapport à celles existantes à la date d’établissement du présent document d’information, que le régime fiscal applicable à ses actionnaires restera inchangé - s’agissant par exemple des modifications envisagées dans le projet de Loi de Finances pour 2013 publié le 29 septembre 2012 - ou qu’elle sera en mesure de conserver le bénéfice de ce régime fiscal de faveur.</w:t>
      </w:r>
    </w:p>
    <w:p w:rsidR="00C02D2C" w:rsidRPr="00C02D2C" w:rsidRDefault="00C02D2C" w:rsidP="00C02D2C">
      <w:pPr>
        <w:spacing w:after="0" w:line="240" w:lineRule="auto"/>
        <w:ind w:left="708" w:right="52"/>
        <w:jc w:val="both"/>
        <w:rPr>
          <w:rFonts w:cstheme="minorHAnsi"/>
          <w:lang w:val="fr-FR"/>
        </w:rPr>
      </w:pPr>
    </w:p>
    <w:p w:rsidR="00C02D2C" w:rsidRPr="00C02D2C" w:rsidRDefault="00C02D2C" w:rsidP="00C02D2C">
      <w:pPr>
        <w:spacing w:after="0" w:line="240" w:lineRule="auto"/>
        <w:ind w:left="708" w:right="52"/>
        <w:jc w:val="both"/>
        <w:rPr>
          <w:rFonts w:cstheme="minorHAnsi"/>
          <w:lang w:val="fr-FR"/>
        </w:rPr>
      </w:pPr>
      <w:r w:rsidRPr="00C02D2C">
        <w:rPr>
          <w:rFonts w:cstheme="minorHAnsi"/>
          <w:lang w:val="fr-FR"/>
        </w:rPr>
        <w:t>Ainsi, des modifications légales, fiscales et réglementaires peuvent intervenir et sont susceptibles d'affecter défavorablement la société HBC CAPITAL, les sociétés de son portefeuille ou ses actionnaires.</w:t>
      </w:r>
    </w:p>
    <w:p w:rsidR="00C02D2C" w:rsidRPr="00C02D2C" w:rsidRDefault="00C02D2C" w:rsidP="00C02D2C">
      <w:pPr>
        <w:spacing w:after="0" w:line="240" w:lineRule="auto"/>
        <w:ind w:right="52"/>
        <w:jc w:val="both"/>
        <w:rPr>
          <w:rFonts w:cstheme="minorHAnsi"/>
          <w:lang w:val="fr-FR"/>
        </w:rPr>
      </w:pPr>
    </w:p>
    <w:p w:rsidR="00C02D2C" w:rsidRPr="00C02D2C" w:rsidRDefault="00C02D2C" w:rsidP="00C02D2C">
      <w:pPr>
        <w:spacing w:after="0" w:line="240" w:lineRule="auto"/>
        <w:ind w:left="708" w:right="52"/>
        <w:jc w:val="both"/>
        <w:rPr>
          <w:lang w:val="fr-FR"/>
        </w:rPr>
      </w:pPr>
    </w:p>
    <w:p w:rsidR="00C02D2C" w:rsidRPr="00C02D2C" w:rsidRDefault="00C02D2C" w:rsidP="00C02D2C">
      <w:pPr>
        <w:pStyle w:val="Paragraphedeliste"/>
        <w:widowControl/>
        <w:numPr>
          <w:ilvl w:val="0"/>
          <w:numId w:val="6"/>
        </w:numPr>
        <w:jc w:val="both"/>
        <w:rPr>
          <w:lang w:val="fr-FR"/>
        </w:rPr>
      </w:pPr>
      <w:r w:rsidRPr="00C02D2C">
        <w:rPr>
          <w:b/>
          <w:lang w:val="fr-FR"/>
        </w:rPr>
        <w:t>Risque de perte en capital :</w:t>
      </w:r>
      <w:r w:rsidRPr="00C02D2C">
        <w:rPr>
          <w:lang w:val="fr-FR"/>
        </w:rPr>
        <w:t xml:space="preserve"> lié au risque de perte totale ou partielle d’investissement comme tout investissement au capital d’une société.</w:t>
      </w:r>
    </w:p>
    <w:p w:rsidR="00C02D2C" w:rsidRPr="00C02D2C" w:rsidRDefault="00C02D2C" w:rsidP="00C02D2C">
      <w:pPr>
        <w:pStyle w:val="Paragraphedeliste"/>
        <w:widowControl/>
        <w:numPr>
          <w:ilvl w:val="0"/>
          <w:numId w:val="6"/>
        </w:numPr>
        <w:spacing w:before="40"/>
        <w:jc w:val="both"/>
        <w:rPr>
          <w:lang w:val="fr-FR"/>
        </w:rPr>
      </w:pPr>
      <w:r w:rsidRPr="00C02D2C">
        <w:rPr>
          <w:b/>
          <w:lang w:val="fr-FR"/>
        </w:rPr>
        <w:t>Risque de dépendance au Groupe ACI OUTREMER :</w:t>
      </w:r>
      <w:r w:rsidRPr="00C02D2C">
        <w:rPr>
          <w:lang w:val="fr-FR"/>
        </w:rPr>
        <w:t xml:space="preserve"> du fait de la participation active du Groupe ACI OUTREMER aux choix des projets hôteliers dans lesquels pourrait investir la Société. La révocation du président désigné dans les statuts de la Société requiert la majorité des ¾ des voix des associés présents ou représentés (sur un quorum de la moitié des actions).</w:t>
      </w:r>
    </w:p>
    <w:p w:rsidR="00C02D2C" w:rsidRPr="00C02D2C" w:rsidRDefault="00C02D2C" w:rsidP="00C02D2C">
      <w:pPr>
        <w:pStyle w:val="Paragraphedeliste"/>
        <w:widowControl/>
        <w:numPr>
          <w:ilvl w:val="0"/>
          <w:numId w:val="6"/>
        </w:numPr>
        <w:spacing w:before="40"/>
        <w:jc w:val="both"/>
        <w:rPr>
          <w:lang w:val="fr-FR"/>
        </w:rPr>
      </w:pPr>
      <w:r w:rsidRPr="00C02D2C">
        <w:rPr>
          <w:b/>
          <w:lang w:val="fr-FR"/>
        </w:rPr>
        <w:t>Risques inhérents à l’absence de comptes historiques de la Société :</w:t>
      </w:r>
      <w:r w:rsidRPr="00C02D2C">
        <w:rPr>
          <w:lang w:val="fr-FR"/>
        </w:rPr>
        <w:t xml:space="preserve"> du fait de la difficulté pour la Société à s’engager sur des données prévisionnelles chiffrées et sur sa capacité à générer des résultats, du fait de l’absence d’activité passée et de comptes historiques.</w:t>
      </w:r>
    </w:p>
    <w:p w:rsidR="00C02D2C" w:rsidRDefault="00C02D2C" w:rsidP="00C02D2C">
      <w:pPr>
        <w:pStyle w:val="Pa5"/>
        <w:numPr>
          <w:ilvl w:val="0"/>
          <w:numId w:val="6"/>
        </w:numPr>
        <w:spacing w:before="40"/>
        <w:jc w:val="both"/>
        <w:rPr>
          <w:rFonts w:asciiTheme="minorHAnsi" w:hAnsiTheme="minorHAnsi"/>
          <w:sz w:val="22"/>
          <w:szCs w:val="22"/>
        </w:rPr>
      </w:pPr>
      <w:r>
        <w:rPr>
          <w:rFonts w:asciiTheme="minorHAnsi" w:hAnsiTheme="minorHAnsi"/>
          <w:b/>
          <w:sz w:val="22"/>
          <w:szCs w:val="22"/>
        </w:rPr>
        <w:t>R</w:t>
      </w:r>
      <w:r w:rsidRPr="00DB1B6D">
        <w:rPr>
          <w:rFonts w:asciiTheme="minorHAnsi" w:hAnsiTheme="minorHAnsi"/>
          <w:b/>
          <w:sz w:val="22"/>
          <w:szCs w:val="22"/>
        </w:rPr>
        <w:t>isque d’</w:t>
      </w:r>
      <w:proofErr w:type="spellStart"/>
      <w:r w:rsidRPr="00DB1B6D">
        <w:rPr>
          <w:rFonts w:asciiTheme="minorHAnsi" w:hAnsiTheme="minorHAnsi"/>
          <w:b/>
          <w:sz w:val="22"/>
          <w:szCs w:val="22"/>
        </w:rPr>
        <w:t>i</w:t>
      </w:r>
      <w:r>
        <w:rPr>
          <w:rFonts w:asciiTheme="minorHAnsi" w:hAnsiTheme="minorHAnsi"/>
          <w:b/>
          <w:sz w:val="22"/>
          <w:szCs w:val="22"/>
        </w:rPr>
        <w:t>l</w:t>
      </w:r>
      <w:r w:rsidRPr="00DB1B6D">
        <w:rPr>
          <w:rFonts w:asciiTheme="minorHAnsi" w:hAnsiTheme="minorHAnsi"/>
          <w:b/>
          <w:sz w:val="22"/>
          <w:szCs w:val="22"/>
        </w:rPr>
        <w:t>liquidité</w:t>
      </w:r>
      <w:proofErr w:type="spellEnd"/>
      <w:r>
        <w:rPr>
          <w:rFonts w:asciiTheme="minorHAnsi" w:hAnsiTheme="minorHAnsi"/>
          <w:b/>
          <w:sz w:val="22"/>
          <w:szCs w:val="22"/>
        </w:rPr>
        <w:t> :</w:t>
      </w:r>
      <w:r>
        <w:rPr>
          <w:rFonts w:asciiTheme="minorHAnsi" w:hAnsiTheme="minorHAnsi"/>
          <w:sz w:val="22"/>
          <w:szCs w:val="22"/>
        </w:rPr>
        <w:t xml:space="preserve"> lié au fait que les actifs dans lesquels la Société investira sont peu ou pas liquides et</w:t>
      </w:r>
      <w:r w:rsidRPr="00D334E6">
        <w:rPr>
          <w:rFonts w:asciiTheme="minorHAnsi" w:hAnsiTheme="minorHAnsi"/>
          <w:sz w:val="22"/>
          <w:szCs w:val="22"/>
        </w:rPr>
        <w:t xml:space="preserve"> que la Société </w:t>
      </w:r>
      <w:r>
        <w:rPr>
          <w:rFonts w:asciiTheme="minorHAnsi" w:hAnsiTheme="minorHAnsi"/>
          <w:sz w:val="22"/>
          <w:szCs w:val="22"/>
        </w:rPr>
        <w:t xml:space="preserve">puisse </w:t>
      </w:r>
      <w:r w:rsidRPr="00D334E6">
        <w:rPr>
          <w:rFonts w:asciiTheme="minorHAnsi" w:hAnsiTheme="minorHAnsi"/>
          <w:sz w:val="22"/>
          <w:szCs w:val="22"/>
        </w:rPr>
        <w:t>éprouve</w:t>
      </w:r>
      <w:r>
        <w:rPr>
          <w:rFonts w:asciiTheme="minorHAnsi" w:hAnsiTheme="minorHAnsi"/>
          <w:sz w:val="22"/>
          <w:szCs w:val="22"/>
        </w:rPr>
        <w:t>r</w:t>
      </w:r>
      <w:r w:rsidRPr="00D334E6">
        <w:rPr>
          <w:rFonts w:asciiTheme="minorHAnsi" w:hAnsiTheme="minorHAnsi"/>
          <w:sz w:val="22"/>
          <w:szCs w:val="22"/>
        </w:rPr>
        <w:t xml:space="preserve"> des difficultés à céder ses </w:t>
      </w:r>
      <w:r>
        <w:rPr>
          <w:rFonts w:asciiTheme="minorHAnsi" w:hAnsiTheme="minorHAnsi"/>
          <w:sz w:val="22"/>
          <w:szCs w:val="22"/>
        </w:rPr>
        <w:t xml:space="preserve">participations </w:t>
      </w:r>
      <w:r w:rsidRPr="00D334E6">
        <w:rPr>
          <w:rFonts w:asciiTheme="minorHAnsi" w:hAnsiTheme="minorHAnsi"/>
          <w:sz w:val="22"/>
          <w:szCs w:val="22"/>
        </w:rPr>
        <w:t>dans les délais et les niveaux de prix souhaités.</w:t>
      </w:r>
    </w:p>
    <w:p w:rsidR="00C02D2C" w:rsidRPr="00051DF8" w:rsidRDefault="00C02D2C" w:rsidP="00C02D2C">
      <w:pPr>
        <w:pStyle w:val="Pa5"/>
        <w:numPr>
          <w:ilvl w:val="0"/>
          <w:numId w:val="6"/>
        </w:numPr>
        <w:spacing w:before="40"/>
        <w:jc w:val="both"/>
        <w:rPr>
          <w:rFonts w:asciiTheme="minorHAnsi" w:hAnsiTheme="minorHAnsi"/>
          <w:sz w:val="22"/>
          <w:szCs w:val="22"/>
        </w:rPr>
      </w:pPr>
      <w:r w:rsidRPr="00DB1B6D">
        <w:rPr>
          <w:rFonts w:asciiTheme="minorHAnsi" w:hAnsiTheme="minorHAnsi"/>
          <w:b/>
          <w:sz w:val="22"/>
          <w:szCs w:val="22"/>
        </w:rPr>
        <w:t>Risque d’estimation de la valeur des sociétés du portefeuille :</w:t>
      </w:r>
      <w:r>
        <w:rPr>
          <w:rFonts w:asciiTheme="minorHAnsi" w:hAnsiTheme="minorHAnsi"/>
          <w:sz w:val="22"/>
          <w:szCs w:val="22"/>
        </w:rPr>
        <w:t xml:space="preserve"> q</w:t>
      </w:r>
      <w:r w:rsidRPr="00DB1B6D">
        <w:rPr>
          <w:rFonts w:asciiTheme="minorHAnsi" w:hAnsiTheme="minorHAnsi"/>
          <w:sz w:val="22"/>
          <w:szCs w:val="22"/>
        </w:rPr>
        <w:t xml:space="preserve">uels que soient la prudence et le soin apportés à ces évaluations, </w:t>
      </w:r>
      <w:r>
        <w:rPr>
          <w:rFonts w:asciiTheme="minorHAnsi" w:hAnsiTheme="minorHAnsi"/>
          <w:sz w:val="22"/>
          <w:szCs w:val="22"/>
        </w:rPr>
        <w:t>elles sont</w:t>
      </w:r>
      <w:r w:rsidRPr="00DB1B6D">
        <w:rPr>
          <w:rFonts w:asciiTheme="minorHAnsi" w:hAnsiTheme="minorHAnsi"/>
          <w:sz w:val="22"/>
          <w:szCs w:val="22"/>
        </w:rPr>
        <w:t xml:space="preserve"> susceptible</w:t>
      </w:r>
      <w:r>
        <w:rPr>
          <w:rFonts w:asciiTheme="minorHAnsi" w:hAnsiTheme="minorHAnsi"/>
          <w:sz w:val="22"/>
          <w:szCs w:val="22"/>
        </w:rPr>
        <w:t>s</w:t>
      </w:r>
      <w:r w:rsidRPr="00DB1B6D">
        <w:rPr>
          <w:rFonts w:asciiTheme="minorHAnsi" w:hAnsiTheme="minorHAnsi"/>
          <w:sz w:val="22"/>
          <w:szCs w:val="22"/>
        </w:rPr>
        <w:t xml:space="preserve"> de ne pas refléter la valeur exacte du portefeuille. De même, il ne peut être exclu que les sociétés du portefeuille soient cédées à un prix inférieur à celui auquel leurs titres auront été évalués.</w:t>
      </w:r>
    </w:p>
    <w:p w:rsidR="00C02D2C" w:rsidRDefault="00C02D2C" w:rsidP="00C02D2C">
      <w:pPr>
        <w:pStyle w:val="Pa5"/>
        <w:numPr>
          <w:ilvl w:val="0"/>
          <w:numId w:val="6"/>
        </w:numPr>
        <w:spacing w:before="40"/>
        <w:jc w:val="both"/>
        <w:rPr>
          <w:rFonts w:asciiTheme="minorHAnsi" w:hAnsiTheme="minorHAnsi"/>
          <w:sz w:val="22"/>
          <w:szCs w:val="22"/>
        </w:rPr>
      </w:pPr>
      <w:r w:rsidRPr="00DB1B6D">
        <w:rPr>
          <w:rFonts w:asciiTheme="minorHAnsi" w:hAnsiTheme="minorHAnsi"/>
          <w:b/>
          <w:sz w:val="22"/>
          <w:szCs w:val="22"/>
        </w:rPr>
        <w:t>Risque lié à l’activité des sociétés du portefeuille :</w:t>
      </w:r>
      <w:r>
        <w:rPr>
          <w:rFonts w:asciiTheme="minorHAnsi" w:hAnsiTheme="minorHAnsi"/>
          <w:sz w:val="22"/>
          <w:szCs w:val="22"/>
        </w:rPr>
        <w:t xml:space="preserve"> les activités développées par les sociétés du portefeuille peuvent rétrospectivement avoir l’objet d’une analyse erronée des opportunités de marché par les dirigeants et ne pas rencontrer le succès commercial escompté.</w:t>
      </w:r>
    </w:p>
    <w:p w:rsidR="00C02D2C" w:rsidRDefault="00C02D2C" w:rsidP="00C02D2C">
      <w:pPr>
        <w:pStyle w:val="Pa5"/>
        <w:numPr>
          <w:ilvl w:val="0"/>
          <w:numId w:val="6"/>
        </w:numPr>
        <w:spacing w:before="40"/>
        <w:jc w:val="both"/>
        <w:rPr>
          <w:rFonts w:asciiTheme="minorHAnsi" w:hAnsiTheme="minorHAnsi"/>
          <w:sz w:val="22"/>
          <w:szCs w:val="22"/>
        </w:rPr>
      </w:pPr>
      <w:r w:rsidRPr="009706AB">
        <w:rPr>
          <w:rFonts w:asciiTheme="minorHAnsi" w:hAnsiTheme="minorHAnsi"/>
          <w:b/>
          <w:sz w:val="22"/>
          <w:szCs w:val="22"/>
        </w:rPr>
        <w:t>Risques liés à la variabilité du capital</w:t>
      </w:r>
      <w:r>
        <w:rPr>
          <w:rFonts w:asciiTheme="minorHAnsi" w:hAnsiTheme="minorHAnsi"/>
          <w:b/>
          <w:sz w:val="22"/>
          <w:szCs w:val="22"/>
        </w:rPr>
        <w:t xml:space="preserve"> : </w:t>
      </w:r>
      <w:r>
        <w:rPr>
          <w:rFonts w:asciiTheme="minorHAnsi" w:hAnsiTheme="minorHAnsi"/>
          <w:sz w:val="22"/>
          <w:szCs w:val="22"/>
        </w:rPr>
        <w:t>c</w:t>
      </w:r>
      <w:r w:rsidRPr="009706AB">
        <w:rPr>
          <w:rFonts w:asciiTheme="minorHAnsi" w:hAnsiTheme="minorHAnsi"/>
          <w:sz w:val="22"/>
          <w:szCs w:val="22"/>
        </w:rPr>
        <w:t xml:space="preserve">haque </w:t>
      </w:r>
      <w:r>
        <w:rPr>
          <w:rFonts w:asciiTheme="minorHAnsi" w:hAnsiTheme="minorHAnsi"/>
          <w:sz w:val="22"/>
          <w:szCs w:val="22"/>
        </w:rPr>
        <w:t>associé</w:t>
      </w:r>
      <w:r w:rsidRPr="009706AB">
        <w:rPr>
          <w:rFonts w:asciiTheme="minorHAnsi" w:hAnsiTheme="minorHAnsi"/>
          <w:sz w:val="22"/>
          <w:szCs w:val="22"/>
        </w:rPr>
        <w:t xml:space="preserve"> </w:t>
      </w:r>
      <w:r>
        <w:rPr>
          <w:rFonts w:asciiTheme="minorHAnsi" w:hAnsiTheme="minorHAnsi"/>
          <w:sz w:val="22"/>
          <w:szCs w:val="22"/>
        </w:rPr>
        <w:t>de HBC Capital</w:t>
      </w:r>
      <w:r w:rsidRPr="009706AB">
        <w:rPr>
          <w:rFonts w:asciiTheme="minorHAnsi" w:hAnsiTheme="minorHAnsi"/>
          <w:sz w:val="22"/>
          <w:szCs w:val="22"/>
        </w:rPr>
        <w:t xml:space="preserve"> peut se retirer de la société</w:t>
      </w:r>
      <w:r>
        <w:rPr>
          <w:rFonts w:asciiTheme="minorHAnsi" w:hAnsiTheme="minorHAnsi"/>
          <w:sz w:val="22"/>
          <w:szCs w:val="22"/>
        </w:rPr>
        <w:t>, du fait de la variabilité de son capital,</w:t>
      </w:r>
      <w:r w:rsidRPr="009706AB">
        <w:rPr>
          <w:rFonts w:asciiTheme="minorHAnsi" w:hAnsiTheme="minorHAnsi"/>
          <w:sz w:val="22"/>
          <w:szCs w:val="22"/>
        </w:rPr>
        <w:t xml:space="preserve"> lorsqu’il le juge convenable</w:t>
      </w:r>
      <w:r>
        <w:rPr>
          <w:rFonts w:asciiTheme="minorHAnsi" w:hAnsiTheme="minorHAnsi"/>
          <w:sz w:val="22"/>
          <w:szCs w:val="22"/>
        </w:rPr>
        <w:t xml:space="preserve">, sous réserve des dispositions légales et statutaires applicables, et notamment de la période de conservation telle que définie dans les statuts et qui s’étend </w:t>
      </w:r>
      <w:r w:rsidRPr="009706AB">
        <w:rPr>
          <w:rFonts w:asciiTheme="minorHAnsi" w:hAnsiTheme="minorHAnsi"/>
          <w:sz w:val="22"/>
          <w:szCs w:val="22"/>
        </w:rPr>
        <w:t xml:space="preserve">de la souscription au 1er janvier 2019 au plus tôt. </w:t>
      </w:r>
      <w:r>
        <w:rPr>
          <w:rFonts w:asciiTheme="minorHAnsi" w:hAnsiTheme="minorHAnsi"/>
          <w:sz w:val="22"/>
          <w:szCs w:val="22"/>
        </w:rPr>
        <w:t>Au-delà de la période de conservation, a</w:t>
      </w:r>
      <w:r w:rsidRPr="009706AB">
        <w:rPr>
          <w:rFonts w:asciiTheme="minorHAnsi" w:hAnsiTheme="minorHAnsi"/>
          <w:sz w:val="22"/>
          <w:szCs w:val="22"/>
        </w:rPr>
        <w:t xml:space="preserve">ucune assurance ne peut </w:t>
      </w:r>
      <w:r>
        <w:rPr>
          <w:rFonts w:asciiTheme="minorHAnsi" w:hAnsiTheme="minorHAnsi"/>
          <w:sz w:val="22"/>
          <w:szCs w:val="22"/>
        </w:rPr>
        <w:t xml:space="preserve">toutefois </w:t>
      </w:r>
      <w:r w:rsidRPr="009706AB">
        <w:rPr>
          <w:rFonts w:asciiTheme="minorHAnsi" w:hAnsiTheme="minorHAnsi"/>
          <w:sz w:val="22"/>
          <w:szCs w:val="22"/>
        </w:rPr>
        <w:t xml:space="preserve">être donnée quant à la liquidité d’un investissement du fait de la clause de variabilité du capital de la Société. La Société ne peut garantir qu'elle disposera à tout moment de liquidités immédiates suffisantes pour honorer les demandes de rachat qui auraient été effectuées dans le respect des </w:t>
      </w:r>
      <w:r>
        <w:rPr>
          <w:rFonts w:asciiTheme="minorHAnsi" w:hAnsiTheme="minorHAnsi"/>
          <w:sz w:val="22"/>
          <w:szCs w:val="22"/>
        </w:rPr>
        <w:t>s</w:t>
      </w:r>
      <w:r w:rsidRPr="009706AB">
        <w:rPr>
          <w:rFonts w:asciiTheme="minorHAnsi" w:hAnsiTheme="minorHAnsi"/>
          <w:sz w:val="22"/>
          <w:szCs w:val="22"/>
        </w:rPr>
        <w:t xml:space="preserve">tatuts. </w:t>
      </w:r>
      <w:r>
        <w:rPr>
          <w:rFonts w:asciiTheme="minorHAnsi" w:hAnsiTheme="minorHAnsi"/>
          <w:sz w:val="22"/>
          <w:szCs w:val="22"/>
        </w:rPr>
        <w:t>L</w:t>
      </w:r>
      <w:r w:rsidRPr="004950E5">
        <w:rPr>
          <w:rFonts w:asciiTheme="minorHAnsi" w:hAnsiTheme="minorHAnsi"/>
          <w:sz w:val="22"/>
          <w:szCs w:val="22"/>
        </w:rPr>
        <w:t>’exercice</w:t>
      </w:r>
      <w:r w:rsidRPr="009706AB">
        <w:rPr>
          <w:rFonts w:asciiTheme="minorHAnsi" w:hAnsiTheme="minorHAnsi"/>
          <w:sz w:val="22"/>
          <w:szCs w:val="22"/>
        </w:rPr>
        <w:t xml:space="preserve"> du droit de retrait conféré à tout associé </w:t>
      </w:r>
      <w:r>
        <w:rPr>
          <w:rFonts w:asciiTheme="minorHAnsi" w:hAnsiTheme="minorHAnsi"/>
          <w:sz w:val="22"/>
          <w:szCs w:val="22"/>
        </w:rPr>
        <w:t>est encadré par les dispositions statutaires de la Société</w:t>
      </w:r>
      <w:r w:rsidRPr="009706AB">
        <w:rPr>
          <w:rFonts w:asciiTheme="minorHAnsi" w:hAnsiTheme="minorHAnsi"/>
          <w:sz w:val="22"/>
          <w:szCs w:val="22"/>
        </w:rPr>
        <w:t>.</w:t>
      </w:r>
      <w:r w:rsidRPr="00A40D33" w:rsidDel="00BA439A">
        <w:rPr>
          <w:rFonts w:asciiTheme="minorHAnsi" w:hAnsiTheme="minorHAnsi"/>
          <w:sz w:val="22"/>
          <w:szCs w:val="22"/>
        </w:rPr>
        <w:t xml:space="preserve"> </w:t>
      </w:r>
    </w:p>
    <w:p w:rsidR="009F3828" w:rsidRDefault="009F3828" w:rsidP="009F3828">
      <w:pPr>
        <w:rPr>
          <w:lang w:val="fr-FR"/>
        </w:rPr>
      </w:pPr>
    </w:p>
    <w:p w:rsidR="009F3828" w:rsidRDefault="009F3828" w:rsidP="00DD4405">
      <w:pPr>
        <w:spacing w:after="0" w:line="240" w:lineRule="auto"/>
        <w:ind w:left="117" w:right="2268"/>
        <w:jc w:val="both"/>
        <w:rPr>
          <w:rFonts w:eastAsia="Corbel" w:cs="Calibri"/>
          <w:b/>
          <w:bCs/>
          <w:color w:val="9C1C1F"/>
          <w:spacing w:val="-27"/>
          <w:sz w:val="40"/>
          <w:szCs w:val="60"/>
          <w:lang w:val="fr-FR"/>
        </w:rPr>
      </w:pPr>
      <w:r w:rsidRPr="00DD4405">
        <w:rPr>
          <w:rFonts w:eastAsia="Corbel" w:cs="Calibri"/>
          <w:b/>
          <w:bCs/>
          <w:color w:val="9C1C1F"/>
          <w:spacing w:val="-27"/>
          <w:sz w:val="40"/>
          <w:szCs w:val="60"/>
          <w:lang w:val="fr-FR"/>
        </w:rPr>
        <w:t>Typologie des frais</w:t>
      </w:r>
    </w:p>
    <w:p w:rsidR="00DD4405" w:rsidRPr="00DD4405" w:rsidRDefault="00DD4405" w:rsidP="00DD4405">
      <w:pPr>
        <w:spacing w:after="0" w:line="240" w:lineRule="auto"/>
        <w:ind w:left="117" w:right="2268"/>
        <w:jc w:val="both"/>
        <w:rPr>
          <w:rFonts w:eastAsia="Corbel" w:cs="Calibri"/>
          <w:b/>
          <w:bCs/>
          <w:color w:val="9C1C1F"/>
          <w:spacing w:val="-27"/>
          <w:sz w:val="40"/>
          <w:szCs w:val="60"/>
          <w:lang w:val="fr-FR"/>
        </w:rPr>
      </w:pPr>
    </w:p>
    <w:tbl>
      <w:tblPr>
        <w:tblStyle w:val="Grilledutableau"/>
        <w:tblW w:w="0" w:type="auto"/>
        <w:tblLook w:val="04A0"/>
      </w:tblPr>
      <w:tblGrid>
        <w:gridCol w:w="3070"/>
        <w:gridCol w:w="3070"/>
        <w:gridCol w:w="3070"/>
      </w:tblGrid>
      <w:tr w:rsidR="00DD4405" w:rsidTr="00DD4405">
        <w:tc>
          <w:tcPr>
            <w:tcW w:w="3070" w:type="dxa"/>
          </w:tcPr>
          <w:p w:rsidR="00DD4405" w:rsidRDefault="00DD4405" w:rsidP="009F3828">
            <w:pPr>
              <w:rPr>
                <w:lang w:val="fr-FR"/>
              </w:rPr>
            </w:pPr>
          </w:p>
        </w:tc>
        <w:tc>
          <w:tcPr>
            <w:tcW w:w="3070" w:type="dxa"/>
          </w:tcPr>
          <w:p w:rsidR="00DD4405" w:rsidRDefault="00DD4405" w:rsidP="009F3828">
            <w:pPr>
              <w:rPr>
                <w:lang w:val="fr-FR"/>
              </w:rPr>
            </w:pPr>
          </w:p>
        </w:tc>
        <w:tc>
          <w:tcPr>
            <w:tcW w:w="3070" w:type="dxa"/>
          </w:tcPr>
          <w:p w:rsidR="00DD4405" w:rsidRDefault="00DD4405" w:rsidP="009F3828">
            <w:pPr>
              <w:rPr>
                <w:lang w:val="fr-FR"/>
              </w:rPr>
            </w:pPr>
          </w:p>
        </w:tc>
      </w:tr>
      <w:tr w:rsidR="00DD4405" w:rsidTr="00DD4405">
        <w:tc>
          <w:tcPr>
            <w:tcW w:w="3070" w:type="dxa"/>
          </w:tcPr>
          <w:p w:rsidR="00DD4405" w:rsidRDefault="00DD4405" w:rsidP="009F3828">
            <w:pPr>
              <w:rPr>
                <w:lang w:val="fr-FR"/>
              </w:rPr>
            </w:pPr>
          </w:p>
        </w:tc>
        <w:tc>
          <w:tcPr>
            <w:tcW w:w="3070" w:type="dxa"/>
          </w:tcPr>
          <w:p w:rsidR="00DD4405" w:rsidRDefault="00DD4405" w:rsidP="009F3828">
            <w:pPr>
              <w:rPr>
                <w:lang w:val="fr-FR"/>
              </w:rPr>
            </w:pPr>
          </w:p>
        </w:tc>
        <w:tc>
          <w:tcPr>
            <w:tcW w:w="3070" w:type="dxa"/>
          </w:tcPr>
          <w:p w:rsidR="00DD4405" w:rsidRDefault="00DD4405" w:rsidP="009F3828">
            <w:pPr>
              <w:rPr>
                <w:lang w:val="fr-FR"/>
              </w:rPr>
            </w:pPr>
          </w:p>
        </w:tc>
      </w:tr>
      <w:tr w:rsidR="00DD4405" w:rsidTr="00DD4405">
        <w:tc>
          <w:tcPr>
            <w:tcW w:w="3070" w:type="dxa"/>
          </w:tcPr>
          <w:p w:rsidR="00DD4405" w:rsidRDefault="00DD4405" w:rsidP="009F3828">
            <w:pPr>
              <w:rPr>
                <w:lang w:val="fr-FR"/>
              </w:rPr>
            </w:pPr>
          </w:p>
        </w:tc>
        <w:tc>
          <w:tcPr>
            <w:tcW w:w="3070" w:type="dxa"/>
          </w:tcPr>
          <w:p w:rsidR="00DD4405" w:rsidRDefault="00DD4405" w:rsidP="009F3828">
            <w:pPr>
              <w:rPr>
                <w:lang w:val="fr-FR"/>
              </w:rPr>
            </w:pPr>
          </w:p>
        </w:tc>
        <w:tc>
          <w:tcPr>
            <w:tcW w:w="3070" w:type="dxa"/>
          </w:tcPr>
          <w:p w:rsidR="00DD4405" w:rsidRDefault="00DD4405" w:rsidP="009F3828">
            <w:pPr>
              <w:rPr>
                <w:lang w:val="fr-FR"/>
              </w:rPr>
            </w:pPr>
          </w:p>
        </w:tc>
      </w:tr>
      <w:tr w:rsidR="00DD4405" w:rsidTr="00DD4405">
        <w:tc>
          <w:tcPr>
            <w:tcW w:w="3070" w:type="dxa"/>
          </w:tcPr>
          <w:p w:rsidR="00DD4405" w:rsidRDefault="00DD4405" w:rsidP="009F3828">
            <w:pPr>
              <w:rPr>
                <w:lang w:val="fr-FR"/>
              </w:rPr>
            </w:pPr>
          </w:p>
        </w:tc>
        <w:tc>
          <w:tcPr>
            <w:tcW w:w="3070" w:type="dxa"/>
          </w:tcPr>
          <w:p w:rsidR="00DD4405" w:rsidRDefault="00DD4405" w:rsidP="009F3828">
            <w:pPr>
              <w:rPr>
                <w:lang w:val="fr-FR"/>
              </w:rPr>
            </w:pPr>
          </w:p>
        </w:tc>
        <w:tc>
          <w:tcPr>
            <w:tcW w:w="3070" w:type="dxa"/>
          </w:tcPr>
          <w:p w:rsidR="00DD4405" w:rsidRDefault="00DD4405" w:rsidP="009F3828">
            <w:pPr>
              <w:rPr>
                <w:lang w:val="fr-FR"/>
              </w:rPr>
            </w:pPr>
          </w:p>
        </w:tc>
      </w:tr>
      <w:tr w:rsidR="00DD4405" w:rsidTr="00DD4405">
        <w:tc>
          <w:tcPr>
            <w:tcW w:w="3070" w:type="dxa"/>
          </w:tcPr>
          <w:p w:rsidR="00DD4405" w:rsidRDefault="00DD4405" w:rsidP="009F3828">
            <w:pPr>
              <w:rPr>
                <w:lang w:val="fr-FR"/>
              </w:rPr>
            </w:pPr>
          </w:p>
        </w:tc>
        <w:tc>
          <w:tcPr>
            <w:tcW w:w="3070" w:type="dxa"/>
          </w:tcPr>
          <w:p w:rsidR="00DD4405" w:rsidRDefault="00DD4405" w:rsidP="009F3828">
            <w:pPr>
              <w:rPr>
                <w:lang w:val="fr-FR"/>
              </w:rPr>
            </w:pPr>
          </w:p>
        </w:tc>
        <w:tc>
          <w:tcPr>
            <w:tcW w:w="3070" w:type="dxa"/>
          </w:tcPr>
          <w:p w:rsidR="00DD4405" w:rsidRDefault="00DD4405" w:rsidP="009F3828">
            <w:pPr>
              <w:rPr>
                <w:lang w:val="fr-FR"/>
              </w:rPr>
            </w:pPr>
          </w:p>
        </w:tc>
      </w:tr>
    </w:tbl>
    <w:p w:rsidR="009F3828" w:rsidRDefault="009F3828" w:rsidP="009F3828">
      <w:pPr>
        <w:rPr>
          <w:lang w:val="fr-FR"/>
        </w:rPr>
      </w:pPr>
    </w:p>
    <w:p w:rsidR="009F3828" w:rsidRPr="009F3828" w:rsidRDefault="009F3828" w:rsidP="009F3828">
      <w:pPr>
        <w:rPr>
          <w:lang w:val="fr-FR"/>
        </w:rPr>
      </w:pPr>
    </w:p>
    <w:p w:rsidR="009F3828" w:rsidRPr="009F3828" w:rsidRDefault="009F3828" w:rsidP="009F3828">
      <w:pPr>
        <w:spacing w:after="0" w:line="240" w:lineRule="auto"/>
        <w:ind w:left="117" w:right="2268"/>
        <w:jc w:val="both"/>
        <w:rPr>
          <w:rFonts w:eastAsia="Corbel" w:cs="Calibri"/>
          <w:b/>
          <w:bCs/>
          <w:color w:val="9C1C1F"/>
          <w:spacing w:val="-27"/>
          <w:sz w:val="40"/>
          <w:szCs w:val="60"/>
          <w:lang w:val="fr-FR"/>
        </w:rPr>
      </w:pPr>
      <w:proofErr w:type="spellStart"/>
      <w:r w:rsidRPr="009F3828">
        <w:rPr>
          <w:rFonts w:eastAsia="Corbel" w:cs="Calibri"/>
          <w:b/>
          <w:bCs/>
          <w:color w:val="9C1C1F"/>
          <w:spacing w:val="-27"/>
          <w:sz w:val="40"/>
          <w:szCs w:val="60"/>
          <w:lang w:val="fr-FR"/>
        </w:rPr>
        <w:lastRenderedPageBreak/>
        <w:t>Modalité</w:t>
      </w:r>
      <w:proofErr w:type="spellEnd"/>
      <w:r w:rsidRPr="009F3828">
        <w:rPr>
          <w:rFonts w:eastAsia="Corbel" w:cs="Calibri"/>
          <w:b/>
          <w:bCs/>
          <w:color w:val="9C1C1F"/>
          <w:spacing w:val="-27"/>
          <w:sz w:val="40"/>
          <w:szCs w:val="60"/>
          <w:lang w:val="fr-FR"/>
        </w:rPr>
        <w:t xml:space="preserve"> de </w:t>
      </w:r>
      <w:proofErr w:type="spellStart"/>
      <w:r w:rsidRPr="009F3828">
        <w:rPr>
          <w:rFonts w:eastAsia="Corbel" w:cs="Calibri"/>
          <w:b/>
          <w:bCs/>
          <w:color w:val="9C1C1F"/>
          <w:spacing w:val="-27"/>
          <w:sz w:val="40"/>
          <w:szCs w:val="60"/>
          <w:lang w:val="fr-FR"/>
        </w:rPr>
        <w:t>souscription</w:t>
      </w:r>
      <w:proofErr w:type="spellEnd"/>
    </w:p>
    <w:p w:rsidR="009F3828" w:rsidRDefault="009F3828" w:rsidP="009F3828">
      <w:pPr>
        <w:pStyle w:val="Paragraphedeliste"/>
        <w:widowControl/>
        <w:numPr>
          <w:ilvl w:val="0"/>
          <w:numId w:val="16"/>
        </w:numPr>
      </w:pPr>
      <w:proofErr w:type="spellStart"/>
      <w:r>
        <w:t>S</w:t>
      </w:r>
      <w:r w:rsidRPr="00BE0AAA">
        <w:t>ouscription</w:t>
      </w:r>
      <w:proofErr w:type="spellEnd"/>
      <w:r w:rsidRPr="00BE0AAA">
        <w:t xml:space="preserve"> </w:t>
      </w:r>
      <w:proofErr w:type="spellStart"/>
      <w:r w:rsidRPr="00BE0AAA">
        <w:t>minim</w:t>
      </w:r>
      <w:r>
        <w:t>ale</w:t>
      </w:r>
      <w:proofErr w:type="spellEnd"/>
      <w:r>
        <w:t xml:space="preserve"> : </w:t>
      </w:r>
      <w:r w:rsidRPr="00BE0AAA">
        <w:t>100.000€</w:t>
      </w:r>
    </w:p>
    <w:p w:rsidR="009F3828" w:rsidRPr="009F3828" w:rsidRDefault="009F3828" w:rsidP="009F3828">
      <w:pPr>
        <w:pStyle w:val="Paragraphedeliste"/>
        <w:widowControl/>
        <w:numPr>
          <w:ilvl w:val="0"/>
          <w:numId w:val="16"/>
        </w:numPr>
        <w:rPr>
          <w:lang w:val="fr-FR"/>
        </w:rPr>
      </w:pPr>
      <w:r w:rsidRPr="009F3828">
        <w:rPr>
          <w:lang w:val="fr-FR"/>
        </w:rPr>
        <w:t>Valeur nominale de l’action (hors prime d’émission) : 1,00€</w:t>
      </w:r>
    </w:p>
    <w:p w:rsidR="009F3828" w:rsidRPr="009F3828" w:rsidRDefault="009F3828" w:rsidP="009F3828">
      <w:pPr>
        <w:pStyle w:val="Paragraphedeliste"/>
        <w:widowControl/>
        <w:numPr>
          <w:ilvl w:val="0"/>
          <w:numId w:val="16"/>
        </w:numPr>
        <w:rPr>
          <w:lang w:val="fr-FR"/>
        </w:rPr>
      </w:pPr>
      <w:r w:rsidRPr="009F3828">
        <w:rPr>
          <w:lang w:val="fr-FR"/>
        </w:rPr>
        <w:t>Objectif de souscription : 30 millions d’euros au 31 décembre 2014</w:t>
      </w:r>
    </w:p>
    <w:p w:rsidR="009F3828" w:rsidRPr="009F3828" w:rsidRDefault="009F3828" w:rsidP="009F3828">
      <w:pPr>
        <w:pStyle w:val="Paragraphedeliste"/>
        <w:widowControl/>
        <w:numPr>
          <w:ilvl w:val="0"/>
          <w:numId w:val="16"/>
        </w:numPr>
        <w:rPr>
          <w:lang w:val="fr-FR"/>
        </w:rPr>
      </w:pPr>
      <w:r w:rsidRPr="009F3828">
        <w:rPr>
          <w:lang w:val="fr-FR"/>
        </w:rPr>
        <w:t xml:space="preserve">Période de conservation des actions : de la souscription au </w:t>
      </w:r>
      <w:r w:rsidRPr="009F3828">
        <w:rPr>
          <w:highlight w:val="yellow"/>
          <w:lang w:val="fr-FR"/>
        </w:rPr>
        <w:t>1</w:t>
      </w:r>
      <w:r w:rsidRPr="009F3828">
        <w:rPr>
          <w:highlight w:val="yellow"/>
          <w:vertAlign w:val="superscript"/>
          <w:lang w:val="fr-FR"/>
        </w:rPr>
        <w:t>er</w:t>
      </w:r>
      <w:r w:rsidRPr="009F3828">
        <w:rPr>
          <w:highlight w:val="yellow"/>
          <w:lang w:val="fr-FR"/>
        </w:rPr>
        <w:t xml:space="preserve"> janvier 2019</w:t>
      </w:r>
      <w:r w:rsidRPr="009F3828">
        <w:rPr>
          <w:lang w:val="fr-FR"/>
        </w:rPr>
        <w:t xml:space="preserve"> au plus tôt</w:t>
      </w:r>
    </w:p>
    <w:p w:rsidR="009F3828" w:rsidRPr="009F3828" w:rsidRDefault="009F3828" w:rsidP="009F3828">
      <w:pPr>
        <w:pStyle w:val="Paragraphedeliste"/>
        <w:widowControl/>
        <w:numPr>
          <w:ilvl w:val="0"/>
          <w:numId w:val="16"/>
        </w:numPr>
        <w:rPr>
          <w:lang w:val="fr-FR"/>
        </w:rPr>
      </w:pPr>
      <w:r w:rsidRPr="009F3828">
        <w:rPr>
          <w:lang w:val="fr-FR"/>
        </w:rPr>
        <w:t>Plafond de souscription : 30 % au plus des droits dans les bénéfices de la société HBC CAPITAL pour les associés personnes physiques (voir note annexe)</w:t>
      </w:r>
    </w:p>
    <w:p w:rsidR="009F3828" w:rsidRPr="009F3828" w:rsidRDefault="009F3828" w:rsidP="009F3828">
      <w:pPr>
        <w:pStyle w:val="Paragraphedeliste"/>
        <w:widowControl/>
        <w:numPr>
          <w:ilvl w:val="0"/>
          <w:numId w:val="16"/>
        </w:numPr>
        <w:rPr>
          <w:lang w:val="fr-FR"/>
        </w:rPr>
      </w:pPr>
      <w:r w:rsidRPr="009F3828">
        <w:rPr>
          <w:lang w:val="fr-FR"/>
        </w:rPr>
        <w:t>Souscription et cessions soumises à agrément conformément aux dispositions de l’article 13 des statuts de la société HBC Capital</w:t>
      </w:r>
    </w:p>
    <w:p w:rsidR="005F0B01" w:rsidRPr="00262762" w:rsidRDefault="005F0B01" w:rsidP="005F0B01">
      <w:pPr>
        <w:pStyle w:val="Paragraphedeliste"/>
        <w:widowControl/>
        <w:ind w:left="360"/>
        <w:jc w:val="both"/>
        <w:rPr>
          <w:rFonts w:eastAsia="Corbel" w:cs="Calibri"/>
          <w:sz w:val="20"/>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6552"/>
      </w:tblGrid>
      <w:tr w:rsidR="00262762" w:rsidRPr="00DD4405" w:rsidTr="00CE1D07">
        <w:tc>
          <w:tcPr>
            <w:tcW w:w="9212" w:type="dxa"/>
            <w:gridSpan w:val="2"/>
          </w:tcPr>
          <w:p w:rsidR="00262762" w:rsidRDefault="00262762" w:rsidP="00217220">
            <w:pPr>
              <w:pStyle w:val="Sansinterligne"/>
              <w:jc w:val="center"/>
              <w:rPr>
                <w:b/>
                <w:color w:val="943634"/>
                <w:lang w:val="fr-FR"/>
              </w:rPr>
            </w:pPr>
            <w:r w:rsidRPr="00217220">
              <w:rPr>
                <w:b/>
                <w:bCs/>
                <w:color w:val="943634"/>
                <w:lang w:val="fr-FR"/>
              </w:rPr>
              <w:t xml:space="preserve">VOS CONTACTS : </w:t>
            </w:r>
            <w:r w:rsidRPr="00217220">
              <w:rPr>
                <w:b/>
                <w:color w:val="943634"/>
                <w:lang w:val="fr-FR"/>
              </w:rPr>
              <w:t>Téléphone : 01 56 88 05 85 - Fax : 01 45 63 23 12</w:t>
            </w:r>
          </w:p>
          <w:p w:rsidR="00DD4405" w:rsidRPr="00217220" w:rsidRDefault="00DD4405" w:rsidP="00217220">
            <w:pPr>
              <w:pStyle w:val="Sansinterligne"/>
              <w:jc w:val="center"/>
              <w:rPr>
                <w:b/>
                <w:bCs/>
                <w:color w:val="943634"/>
                <w:lang w:val="fr-FR"/>
              </w:rPr>
            </w:pPr>
            <w:r>
              <w:rPr>
                <w:b/>
                <w:color w:val="943634"/>
                <w:lang w:val="fr-FR"/>
              </w:rPr>
              <w:t xml:space="preserve">Bureaux : 19 avenue de Villiers 75017 – Paris </w:t>
            </w:r>
          </w:p>
        </w:tc>
      </w:tr>
      <w:tr w:rsidR="00262762" w:rsidRPr="002A5799" w:rsidTr="00CE1D07">
        <w:tc>
          <w:tcPr>
            <w:tcW w:w="2660" w:type="dxa"/>
          </w:tcPr>
          <w:p w:rsidR="00262762" w:rsidRPr="00217220" w:rsidRDefault="009F3828" w:rsidP="00262762">
            <w:pPr>
              <w:pStyle w:val="Sansinterligne"/>
              <w:rPr>
                <w:b/>
                <w:bCs/>
                <w:color w:val="943634"/>
                <w:sz w:val="20"/>
                <w:szCs w:val="20"/>
                <w:lang w:val="fr-FR"/>
              </w:rPr>
            </w:pPr>
            <w:r w:rsidRPr="009F3828">
              <w:rPr>
                <w:b/>
                <w:bCs/>
                <w:color w:val="943634"/>
                <w:sz w:val="20"/>
                <w:szCs w:val="20"/>
                <w:lang w:val="fr-FR"/>
              </w:rPr>
              <w:drawing>
                <wp:inline distT="0" distB="0" distL="0" distR="0">
                  <wp:extent cx="1088646" cy="1638940"/>
                  <wp:effectExtent l="19050" t="0" r="0" b="0"/>
                  <wp:docPr id="11" name="Image 3" descr="C:\Users\Stéphane de Reynal\Desktop\dossiers plaquete HBC CAPITAL\equipe paris\Guillaume  de La S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éphane de Reynal\Desktop\dossiers plaquete HBC CAPITAL\equipe paris\Guillaume  de La Selle.JPG"/>
                          <pic:cNvPicPr>
                            <a:picLocks noChangeAspect="1" noChangeArrowheads="1"/>
                          </pic:cNvPicPr>
                        </pic:nvPicPr>
                        <pic:blipFill>
                          <a:blip r:embed="rId9" cstate="print"/>
                          <a:srcRect/>
                          <a:stretch>
                            <a:fillRect/>
                          </a:stretch>
                        </pic:blipFill>
                        <pic:spPr bwMode="auto">
                          <a:xfrm>
                            <a:off x="0" y="0"/>
                            <a:ext cx="1090302" cy="1641432"/>
                          </a:xfrm>
                          <a:prstGeom prst="rect">
                            <a:avLst/>
                          </a:prstGeom>
                          <a:noFill/>
                          <a:ln w="9525">
                            <a:noFill/>
                            <a:miter lim="800000"/>
                            <a:headEnd/>
                            <a:tailEnd/>
                          </a:ln>
                        </pic:spPr>
                      </pic:pic>
                    </a:graphicData>
                  </a:graphic>
                </wp:inline>
              </w:drawing>
            </w:r>
          </w:p>
        </w:tc>
        <w:tc>
          <w:tcPr>
            <w:tcW w:w="6552" w:type="dxa"/>
          </w:tcPr>
          <w:p w:rsidR="00CE1D07" w:rsidRDefault="00CE1D07" w:rsidP="00262762">
            <w:pPr>
              <w:pStyle w:val="Sansinterligne"/>
              <w:rPr>
                <w:b/>
                <w:color w:val="943634"/>
                <w:sz w:val="20"/>
                <w:szCs w:val="20"/>
                <w:lang w:val="fr-FR"/>
              </w:rPr>
            </w:pPr>
            <w:r w:rsidRPr="00217220">
              <w:rPr>
                <w:b/>
                <w:color w:val="943634"/>
                <w:sz w:val="20"/>
                <w:szCs w:val="20"/>
                <w:lang w:val="fr-FR"/>
              </w:rPr>
              <w:t>Relations partenaires :</w:t>
            </w:r>
          </w:p>
          <w:p w:rsidR="00262762" w:rsidRPr="00217220" w:rsidRDefault="00262762" w:rsidP="00262762">
            <w:pPr>
              <w:pStyle w:val="Sansinterligne"/>
              <w:rPr>
                <w:b/>
                <w:bCs/>
                <w:color w:val="943634"/>
                <w:sz w:val="20"/>
                <w:szCs w:val="20"/>
                <w:lang w:val="fr-FR"/>
              </w:rPr>
            </w:pPr>
            <w:r w:rsidRPr="00217220">
              <w:rPr>
                <w:b/>
                <w:color w:val="943634"/>
                <w:sz w:val="20"/>
                <w:szCs w:val="20"/>
                <w:lang w:val="fr-FR"/>
              </w:rPr>
              <w:t xml:space="preserve">Guillaume de La Selle : 06 71 72 61 56 - </w:t>
            </w:r>
            <w:hyperlink r:id="rId10" w:history="1">
              <w:r w:rsidRPr="00217220">
                <w:rPr>
                  <w:rStyle w:val="Lienhypertexte"/>
                  <w:rFonts w:eastAsia="Corbel" w:cs="Calibri"/>
                  <w:b/>
                  <w:color w:val="943634"/>
                  <w:sz w:val="20"/>
                  <w:szCs w:val="20"/>
                  <w:lang w:val="fr-FR"/>
                </w:rPr>
                <w:t>gls@groupeaci.com</w:t>
              </w:r>
            </w:hyperlink>
          </w:p>
        </w:tc>
      </w:tr>
      <w:tr w:rsidR="00262762" w:rsidRPr="002A5799" w:rsidTr="00CE1D07">
        <w:tc>
          <w:tcPr>
            <w:tcW w:w="2660" w:type="dxa"/>
          </w:tcPr>
          <w:p w:rsidR="00262762" w:rsidRPr="00217220" w:rsidRDefault="009F3828" w:rsidP="00262762">
            <w:pPr>
              <w:pStyle w:val="Sansinterligne"/>
              <w:rPr>
                <w:b/>
                <w:bCs/>
                <w:color w:val="943634"/>
                <w:sz w:val="20"/>
                <w:szCs w:val="20"/>
                <w:lang w:val="fr-FR"/>
              </w:rPr>
            </w:pPr>
            <w:r w:rsidRPr="009F3828">
              <w:rPr>
                <w:b/>
                <w:bCs/>
                <w:color w:val="943634"/>
                <w:sz w:val="20"/>
                <w:szCs w:val="20"/>
                <w:lang w:val="fr-FR"/>
              </w:rPr>
              <w:drawing>
                <wp:inline distT="0" distB="0" distL="0" distR="0">
                  <wp:extent cx="1353854" cy="2038206"/>
                  <wp:effectExtent l="19050" t="0" r="0" b="0"/>
                  <wp:docPr id="12" name="Image 2" descr="C:\Users\Stéphane de Reynal\Desktop\dossiers plaquete HBC CAPITAL\equipe paris\Francois-Xavier Huyghes Despoin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éphane de Reynal\Desktop\dossiers plaquete HBC CAPITAL\equipe paris\Francois-Xavier Huyghes Despointes.JPG"/>
                          <pic:cNvPicPr>
                            <a:picLocks noChangeAspect="1" noChangeArrowheads="1"/>
                          </pic:cNvPicPr>
                        </pic:nvPicPr>
                        <pic:blipFill>
                          <a:blip r:embed="rId11" cstate="print"/>
                          <a:srcRect/>
                          <a:stretch>
                            <a:fillRect/>
                          </a:stretch>
                        </pic:blipFill>
                        <pic:spPr bwMode="auto">
                          <a:xfrm>
                            <a:off x="0" y="0"/>
                            <a:ext cx="1352857" cy="2036704"/>
                          </a:xfrm>
                          <a:prstGeom prst="rect">
                            <a:avLst/>
                          </a:prstGeom>
                          <a:noFill/>
                          <a:ln w="9525">
                            <a:noFill/>
                            <a:miter lim="800000"/>
                            <a:headEnd/>
                            <a:tailEnd/>
                          </a:ln>
                        </pic:spPr>
                      </pic:pic>
                    </a:graphicData>
                  </a:graphic>
                </wp:inline>
              </w:drawing>
            </w:r>
          </w:p>
        </w:tc>
        <w:tc>
          <w:tcPr>
            <w:tcW w:w="6552" w:type="dxa"/>
          </w:tcPr>
          <w:p w:rsidR="00CE1D07" w:rsidRDefault="00CE1D07" w:rsidP="00262762">
            <w:pPr>
              <w:pStyle w:val="Sansinterligne"/>
              <w:rPr>
                <w:b/>
                <w:color w:val="943634"/>
                <w:sz w:val="20"/>
                <w:szCs w:val="20"/>
                <w:lang w:val="fr-FR"/>
              </w:rPr>
            </w:pPr>
            <w:r w:rsidRPr="00217220">
              <w:rPr>
                <w:b/>
                <w:color w:val="943634"/>
                <w:sz w:val="20"/>
                <w:szCs w:val="20"/>
                <w:lang w:val="fr-FR"/>
              </w:rPr>
              <w:t>Investisseurs institutionnels </w:t>
            </w:r>
          </w:p>
          <w:p w:rsidR="00262762" w:rsidRPr="00217220" w:rsidRDefault="00262762" w:rsidP="00262762">
            <w:pPr>
              <w:pStyle w:val="Sansinterligne"/>
              <w:rPr>
                <w:b/>
                <w:bCs/>
                <w:color w:val="943634"/>
                <w:sz w:val="20"/>
                <w:szCs w:val="20"/>
                <w:lang w:val="fr-FR"/>
              </w:rPr>
            </w:pPr>
            <w:r w:rsidRPr="00217220">
              <w:rPr>
                <w:b/>
                <w:color w:val="943634"/>
                <w:sz w:val="20"/>
                <w:szCs w:val="20"/>
                <w:lang w:val="fr-FR"/>
              </w:rPr>
              <w:t xml:space="preserve">François-Xavier </w:t>
            </w:r>
            <w:proofErr w:type="spellStart"/>
            <w:r w:rsidRPr="00217220">
              <w:rPr>
                <w:b/>
                <w:color w:val="943634"/>
                <w:sz w:val="20"/>
                <w:szCs w:val="20"/>
                <w:lang w:val="fr-FR"/>
              </w:rPr>
              <w:t>Huyghues</w:t>
            </w:r>
            <w:proofErr w:type="spellEnd"/>
            <w:r w:rsidRPr="00217220">
              <w:rPr>
                <w:b/>
                <w:color w:val="943634"/>
                <w:sz w:val="20"/>
                <w:szCs w:val="20"/>
                <w:lang w:val="fr-FR"/>
              </w:rPr>
              <w:t xml:space="preserve"> Despointes : 06 98 50 11 00 - </w:t>
            </w:r>
            <w:hyperlink r:id="rId12" w:history="1">
              <w:r w:rsidRPr="00217220">
                <w:rPr>
                  <w:rStyle w:val="Lienhypertexte"/>
                  <w:rFonts w:eastAsia="Corbel" w:cs="Calibri"/>
                  <w:b/>
                  <w:color w:val="943634"/>
                  <w:sz w:val="20"/>
                  <w:szCs w:val="20"/>
                  <w:lang w:val="fr-FR"/>
                </w:rPr>
                <w:t>fxd@groupeaci.com</w:t>
              </w:r>
            </w:hyperlink>
          </w:p>
        </w:tc>
      </w:tr>
    </w:tbl>
    <w:p w:rsidR="00262762" w:rsidRDefault="00262762" w:rsidP="00262762">
      <w:pPr>
        <w:pStyle w:val="Sansinterligne"/>
        <w:rPr>
          <w:b/>
          <w:bCs/>
          <w:lang w:val="fr-FR"/>
        </w:rPr>
      </w:pPr>
    </w:p>
    <w:p w:rsidR="00DD4405" w:rsidRPr="009F3828" w:rsidRDefault="00DD4405" w:rsidP="00DD4405">
      <w:pPr>
        <w:spacing w:after="0" w:line="240" w:lineRule="auto"/>
        <w:jc w:val="center"/>
        <w:rPr>
          <w:lang w:val="fr-FR"/>
        </w:rPr>
      </w:pPr>
      <w:r w:rsidRPr="009F3828">
        <w:rPr>
          <w:lang w:val="fr-FR"/>
        </w:rPr>
        <w:t>HBC Capital, société par actions simplifiée à capital variable</w:t>
      </w:r>
    </w:p>
    <w:p w:rsidR="00DD4405" w:rsidRPr="009F3828" w:rsidRDefault="00DD4405" w:rsidP="00DD4405">
      <w:pPr>
        <w:spacing w:after="0" w:line="240" w:lineRule="auto"/>
        <w:jc w:val="center"/>
        <w:rPr>
          <w:lang w:val="fr-FR"/>
        </w:rPr>
      </w:pPr>
      <w:r>
        <w:rPr>
          <w:lang w:val="fr-FR"/>
        </w:rPr>
        <w:t xml:space="preserve">Siège social : </w:t>
      </w:r>
      <w:r w:rsidRPr="009F3828">
        <w:rPr>
          <w:lang w:val="fr-FR"/>
        </w:rPr>
        <w:t>Immeuble EXODOM, 7 zone de Manhity, 97232 Le Lamentin</w:t>
      </w:r>
    </w:p>
    <w:p w:rsidR="00DD4405" w:rsidRDefault="00DD4405" w:rsidP="00DD4405">
      <w:pPr>
        <w:spacing w:after="0" w:line="240" w:lineRule="auto"/>
        <w:jc w:val="center"/>
      </w:pPr>
      <w:r>
        <w:t>754 003 556 RCS Fort de France</w:t>
      </w:r>
    </w:p>
    <w:p w:rsidR="00DD4405" w:rsidRDefault="00DD4405" w:rsidP="00262762">
      <w:pPr>
        <w:pStyle w:val="Sansinterligne"/>
        <w:rPr>
          <w:b/>
          <w:bCs/>
          <w:lang w:val="fr-FR"/>
        </w:rPr>
      </w:pPr>
    </w:p>
    <w:sectPr w:rsidR="00DD4405" w:rsidSect="000B6413">
      <w:headerReference w:type="first" r:id="rId13"/>
      <w:footerReference w:type="first" r:id="rId14"/>
      <w:pgSz w:w="11906" w:h="16838"/>
      <w:pgMar w:top="1134" w:right="1418"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2E50" w:rsidRDefault="00902E50" w:rsidP="0044255C">
      <w:pPr>
        <w:spacing w:after="0" w:line="240" w:lineRule="auto"/>
      </w:pPr>
      <w:r>
        <w:separator/>
      </w:r>
    </w:p>
  </w:endnote>
  <w:endnote w:type="continuationSeparator" w:id="0">
    <w:p w:rsidR="00902E50" w:rsidRDefault="00902E50" w:rsidP="004425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altName w:val="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828" w:rsidRPr="009F3828" w:rsidRDefault="009F3828" w:rsidP="009F3828">
    <w:pPr>
      <w:spacing w:after="0" w:line="240" w:lineRule="auto"/>
      <w:jc w:val="center"/>
      <w:rPr>
        <w:lang w:val="fr-FR"/>
      </w:rPr>
    </w:pPr>
    <w:r w:rsidRPr="009F3828">
      <w:rPr>
        <w:lang w:val="fr-FR"/>
      </w:rPr>
      <w:t>HBC Capital, société par actions simplifiée à capital variable</w:t>
    </w:r>
  </w:p>
  <w:p w:rsidR="00712AB9" w:rsidRPr="009F3828" w:rsidRDefault="00712AB9" w:rsidP="009F382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2E50" w:rsidRDefault="00902E50" w:rsidP="0044255C">
      <w:pPr>
        <w:spacing w:after="0" w:line="240" w:lineRule="auto"/>
      </w:pPr>
      <w:r>
        <w:separator/>
      </w:r>
    </w:p>
  </w:footnote>
  <w:footnote w:type="continuationSeparator" w:id="0">
    <w:p w:rsidR="00902E50" w:rsidRDefault="00902E50" w:rsidP="0044255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413" w:rsidRPr="0044255C" w:rsidRDefault="000B6413" w:rsidP="000B6413">
    <w:pPr>
      <w:pStyle w:val="En-tte"/>
      <w:pBdr>
        <w:bottom w:val="single" w:sz="4" w:space="1" w:color="auto"/>
      </w:pBdr>
      <w:rPr>
        <w:b/>
        <w:sz w:val="48"/>
        <w:lang w:val="fr-FR"/>
      </w:rPr>
    </w:pPr>
    <w:r w:rsidRPr="0044255C">
      <w:rPr>
        <w:b/>
        <w:color w:val="943634"/>
        <w:sz w:val="96"/>
        <w:lang w:val="fr-FR"/>
      </w:rPr>
      <w:t>HBC</w:t>
    </w:r>
    <w:r w:rsidRPr="0044255C">
      <w:rPr>
        <w:b/>
        <w:sz w:val="48"/>
        <w:lang w:val="fr-FR"/>
      </w:rPr>
      <w:t xml:space="preserve"> CAPITAL</w:t>
    </w:r>
  </w:p>
  <w:p w:rsidR="00712AB9" w:rsidRDefault="00712AB9">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0518F"/>
    <w:multiLevelType w:val="hybridMultilevel"/>
    <w:tmpl w:val="21C6F25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C179B8"/>
    <w:multiLevelType w:val="hybridMultilevel"/>
    <w:tmpl w:val="99782AD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nsid w:val="0829396F"/>
    <w:multiLevelType w:val="hybridMultilevel"/>
    <w:tmpl w:val="4246F88C"/>
    <w:lvl w:ilvl="0" w:tplc="040C000D">
      <w:start w:val="1"/>
      <w:numFmt w:val="bullet"/>
      <w:lvlText w:val=""/>
      <w:lvlJc w:val="left"/>
      <w:pPr>
        <w:ind w:left="1068" w:hanging="360"/>
      </w:pPr>
      <w:rPr>
        <w:rFonts w:ascii="Wingdings" w:hAnsi="Wingdings" w:hint="default"/>
        <w:b/>
        <w:color w:val="808285"/>
        <w:sz w:val="36"/>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
    <w:nsid w:val="16B41A7B"/>
    <w:multiLevelType w:val="hybridMultilevel"/>
    <w:tmpl w:val="326A8A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C8762FD"/>
    <w:multiLevelType w:val="hybridMultilevel"/>
    <w:tmpl w:val="A18A9C96"/>
    <w:lvl w:ilvl="0" w:tplc="9852E86E">
      <w:start w:val="1"/>
      <w:numFmt w:val="decimal"/>
      <w:lvlText w:val="%1."/>
      <w:lvlJc w:val="left"/>
      <w:pPr>
        <w:ind w:left="720" w:hanging="360"/>
      </w:pPr>
      <w:rPr>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35E00B2F"/>
    <w:multiLevelType w:val="hybridMultilevel"/>
    <w:tmpl w:val="3EC6AA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63A0C5E"/>
    <w:multiLevelType w:val="hybridMultilevel"/>
    <w:tmpl w:val="BCEADB7A"/>
    <w:lvl w:ilvl="0" w:tplc="040C0001">
      <w:start w:val="1"/>
      <w:numFmt w:val="bullet"/>
      <w:lvlText w:val=""/>
      <w:lvlJc w:val="left"/>
      <w:pPr>
        <w:ind w:left="720" w:hanging="360"/>
      </w:pPr>
      <w:rPr>
        <w:rFonts w:ascii="Symbol" w:hAnsi="Symbol" w:hint="default"/>
      </w:rPr>
    </w:lvl>
    <w:lvl w:ilvl="1" w:tplc="60007E7A">
      <w:numFmt w:val="bullet"/>
      <w:lvlText w:val="-"/>
      <w:lvlJc w:val="left"/>
      <w:pPr>
        <w:ind w:left="1440" w:hanging="360"/>
      </w:pPr>
      <w:rPr>
        <w:rFonts w:ascii="Calibri" w:eastAsiaTheme="minorHAnsi"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9B32642"/>
    <w:multiLevelType w:val="hybridMultilevel"/>
    <w:tmpl w:val="B462BF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C1C08B3"/>
    <w:multiLevelType w:val="hybridMultilevel"/>
    <w:tmpl w:val="3196B234"/>
    <w:lvl w:ilvl="0" w:tplc="BCBC2F48">
      <w:numFmt w:val="bullet"/>
      <w:lvlText w:val="•"/>
      <w:lvlJc w:val="left"/>
      <w:pPr>
        <w:ind w:left="720" w:hanging="360"/>
      </w:pPr>
      <w:rPr>
        <w:rFonts w:ascii="Corbel" w:eastAsia="Corbel" w:hAnsi="Corbel" w:cs="Corbe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1283520"/>
    <w:multiLevelType w:val="hybridMultilevel"/>
    <w:tmpl w:val="1234A55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nsid w:val="522A4EFD"/>
    <w:multiLevelType w:val="hybridMultilevel"/>
    <w:tmpl w:val="A07E9912"/>
    <w:lvl w:ilvl="0" w:tplc="677A489A">
      <w:numFmt w:val="bullet"/>
      <w:lvlText w:val=""/>
      <w:lvlJc w:val="left"/>
      <w:pPr>
        <w:ind w:left="1197" w:hanging="360"/>
      </w:pPr>
      <w:rPr>
        <w:rFonts w:ascii="Wingdings" w:eastAsia="Corbel" w:hAnsi="Wingdings" w:cs="Corbel" w:hint="default"/>
        <w:b/>
        <w:color w:val="808285"/>
        <w:sz w:val="36"/>
      </w:rPr>
    </w:lvl>
    <w:lvl w:ilvl="1" w:tplc="040C0003" w:tentative="1">
      <w:start w:val="1"/>
      <w:numFmt w:val="bullet"/>
      <w:lvlText w:val="o"/>
      <w:lvlJc w:val="left"/>
      <w:pPr>
        <w:ind w:left="1917" w:hanging="360"/>
      </w:pPr>
      <w:rPr>
        <w:rFonts w:ascii="Courier New" w:hAnsi="Courier New" w:cs="Courier New" w:hint="default"/>
      </w:rPr>
    </w:lvl>
    <w:lvl w:ilvl="2" w:tplc="040C0005" w:tentative="1">
      <w:start w:val="1"/>
      <w:numFmt w:val="bullet"/>
      <w:lvlText w:val=""/>
      <w:lvlJc w:val="left"/>
      <w:pPr>
        <w:ind w:left="2637" w:hanging="360"/>
      </w:pPr>
      <w:rPr>
        <w:rFonts w:ascii="Wingdings" w:hAnsi="Wingdings" w:hint="default"/>
      </w:rPr>
    </w:lvl>
    <w:lvl w:ilvl="3" w:tplc="040C0001" w:tentative="1">
      <w:start w:val="1"/>
      <w:numFmt w:val="bullet"/>
      <w:lvlText w:val=""/>
      <w:lvlJc w:val="left"/>
      <w:pPr>
        <w:ind w:left="3357" w:hanging="360"/>
      </w:pPr>
      <w:rPr>
        <w:rFonts w:ascii="Symbol" w:hAnsi="Symbol" w:hint="default"/>
      </w:rPr>
    </w:lvl>
    <w:lvl w:ilvl="4" w:tplc="040C0003" w:tentative="1">
      <w:start w:val="1"/>
      <w:numFmt w:val="bullet"/>
      <w:lvlText w:val="o"/>
      <w:lvlJc w:val="left"/>
      <w:pPr>
        <w:ind w:left="4077" w:hanging="360"/>
      </w:pPr>
      <w:rPr>
        <w:rFonts w:ascii="Courier New" w:hAnsi="Courier New" w:cs="Courier New" w:hint="default"/>
      </w:rPr>
    </w:lvl>
    <w:lvl w:ilvl="5" w:tplc="040C0005" w:tentative="1">
      <w:start w:val="1"/>
      <w:numFmt w:val="bullet"/>
      <w:lvlText w:val=""/>
      <w:lvlJc w:val="left"/>
      <w:pPr>
        <w:ind w:left="4797" w:hanging="360"/>
      </w:pPr>
      <w:rPr>
        <w:rFonts w:ascii="Wingdings" w:hAnsi="Wingdings" w:hint="default"/>
      </w:rPr>
    </w:lvl>
    <w:lvl w:ilvl="6" w:tplc="040C0001" w:tentative="1">
      <w:start w:val="1"/>
      <w:numFmt w:val="bullet"/>
      <w:lvlText w:val=""/>
      <w:lvlJc w:val="left"/>
      <w:pPr>
        <w:ind w:left="5517" w:hanging="360"/>
      </w:pPr>
      <w:rPr>
        <w:rFonts w:ascii="Symbol" w:hAnsi="Symbol" w:hint="default"/>
      </w:rPr>
    </w:lvl>
    <w:lvl w:ilvl="7" w:tplc="040C0003" w:tentative="1">
      <w:start w:val="1"/>
      <w:numFmt w:val="bullet"/>
      <w:lvlText w:val="o"/>
      <w:lvlJc w:val="left"/>
      <w:pPr>
        <w:ind w:left="6237" w:hanging="360"/>
      </w:pPr>
      <w:rPr>
        <w:rFonts w:ascii="Courier New" w:hAnsi="Courier New" w:cs="Courier New" w:hint="default"/>
      </w:rPr>
    </w:lvl>
    <w:lvl w:ilvl="8" w:tplc="040C0005" w:tentative="1">
      <w:start w:val="1"/>
      <w:numFmt w:val="bullet"/>
      <w:lvlText w:val=""/>
      <w:lvlJc w:val="left"/>
      <w:pPr>
        <w:ind w:left="6957" w:hanging="360"/>
      </w:pPr>
      <w:rPr>
        <w:rFonts w:ascii="Wingdings" w:hAnsi="Wingdings" w:hint="default"/>
      </w:rPr>
    </w:lvl>
  </w:abstractNum>
  <w:abstractNum w:abstractNumId="11">
    <w:nsid w:val="5343046E"/>
    <w:multiLevelType w:val="hybridMultilevel"/>
    <w:tmpl w:val="18C24758"/>
    <w:lvl w:ilvl="0" w:tplc="040C000D">
      <w:start w:val="1"/>
      <w:numFmt w:val="bullet"/>
      <w:lvlText w:val=""/>
      <w:lvlJc w:val="left"/>
      <w:pPr>
        <w:ind w:left="1197" w:hanging="360"/>
      </w:pPr>
      <w:rPr>
        <w:rFonts w:ascii="Wingdings" w:hAnsi="Wingdings" w:hint="default"/>
        <w:b/>
        <w:color w:val="808285"/>
        <w:sz w:val="36"/>
      </w:rPr>
    </w:lvl>
    <w:lvl w:ilvl="1" w:tplc="040C0003" w:tentative="1">
      <w:start w:val="1"/>
      <w:numFmt w:val="bullet"/>
      <w:lvlText w:val="o"/>
      <w:lvlJc w:val="left"/>
      <w:pPr>
        <w:ind w:left="1917" w:hanging="360"/>
      </w:pPr>
      <w:rPr>
        <w:rFonts w:ascii="Courier New" w:hAnsi="Courier New" w:cs="Courier New" w:hint="default"/>
      </w:rPr>
    </w:lvl>
    <w:lvl w:ilvl="2" w:tplc="040C0005" w:tentative="1">
      <w:start w:val="1"/>
      <w:numFmt w:val="bullet"/>
      <w:lvlText w:val=""/>
      <w:lvlJc w:val="left"/>
      <w:pPr>
        <w:ind w:left="2637" w:hanging="360"/>
      </w:pPr>
      <w:rPr>
        <w:rFonts w:ascii="Wingdings" w:hAnsi="Wingdings" w:hint="default"/>
      </w:rPr>
    </w:lvl>
    <w:lvl w:ilvl="3" w:tplc="040C0001" w:tentative="1">
      <w:start w:val="1"/>
      <w:numFmt w:val="bullet"/>
      <w:lvlText w:val=""/>
      <w:lvlJc w:val="left"/>
      <w:pPr>
        <w:ind w:left="3357" w:hanging="360"/>
      </w:pPr>
      <w:rPr>
        <w:rFonts w:ascii="Symbol" w:hAnsi="Symbol" w:hint="default"/>
      </w:rPr>
    </w:lvl>
    <w:lvl w:ilvl="4" w:tplc="040C0003" w:tentative="1">
      <w:start w:val="1"/>
      <w:numFmt w:val="bullet"/>
      <w:lvlText w:val="o"/>
      <w:lvlJc w:val="left"/>
      <w:pPr>
        <w:ind w:left="4077" w:hanging="360"/>
      </w:pPr>
      <w:rPr>
        <w:rFonts w:ascii="Courier New" w:hAnsi="Courier New" w:cs="Courier New" w:hint="default"/>
      </w:rPr>
    </w:lvl>
    <w:lvl w:ilvl="5" w:tplc="040C0005" w:tentative="1">
      <w:start w:val="1"/>
      <w:numFmt w:val="bullet"/>
      <w:lvlText w:val=""/>
      <w:lvlJc w:val="left"/>
      <w:pPr>
        <w:ind w:left="4797" w:hanging="360"/>
      </w:pPr>
      <w:rPr>
        <w:rFonts w:ascii="Wingdings" w:hAnsi="Wingdings" w:hint="default"/>
      </w:rPr>
    </w:lvl>
    <w:lvl w:ilvl="6" w:tplc="040C0001" w:tentative="1">
      <w:start w:val="1"/>
      <w:numFmt w:val="bullet"/>
      <w:lvlText w:val=""/>
      <w:lvlJc w:val="left"/>
      <w:pPr>
        <w:ind w:left="5517" w:hanging="360"/>
      </w:pPr>
      <w:rPr>
        <w:rFonts w:ascii="Symbol" w:hAnsi="Symbol" w:hint="default"/>
      </w:rPr>
    </w:lvl>
    <w:lvl w:ilvl="7" w:tplc="040C0003" w:tentative="1">
      <w:start w:val="1"/>
      <w:numFmt w:val="bullet"/>
      <w:lvlText w:val="o"/>
      <w:lvlJc w:val="left"/>
      <w:pPr>
        <w:ind w:left="6237" w:hanging="360"/>
      </w:pPr>
      <w:rPr>
        <w:rFonts w:ascii="Courier New" w:hAnsi="Courier New" w:cs="Courier New" w:hint="default"/>
      </w:rPr>
    </w:lvl>
    <w:lvl w:ilvl="8" w:tplc="040C0005" w:tentative="1">
      <w:start w:val="1"/>
      <w:numFmt w:val="bullet"/>
      <w:lvlText w:val=""/>
      <w:lvlJc w:val="left"/>
      <w:pPr>
        <w:ind w:left="6957" w:hanging="360"/>
      </w:pPr>
      <w:rPr>
        <w:rFonts w:ascii="Wingdings" w:hAnsi="Wingdings" w:hint="default"/>
      </w:rPr>
    </w:lvl>
  </w:abstractNum>
  <w:abstractNum w:abstractNumId="12">
    <w:nsid w:val="566D491E"/>
    <w:multiLevelType w:val="hybridMultilevel"/>
    <w:tmpl w:val="86E4655A"/>
    <w:lvl w:ilvl="0" w:tplc="040C000D">
      <w:start w:val="1"/>
      <w:numFmt w:val="bullet"/>
      <w:lvlText w:val=""/>
      <w:lvlJc w:val="left"/>
      <w:pPr>
        <w:ind w:left="1440" w:hanging="360"/>
      </w:pPr>
      <w:rPr>
        <w:rFonts w:ascii="Wingdings" w:hAnsi="Wingdings" w:hint="default"/>
        <w:b/>
        <w:color w:val="808285"/>
        <w:sz w:val="36"/>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
    <w:nsid w:val="5E5817AD"/>
    <w:multiLevelType w:val="hybridMultilevel"/>
    <w:tmpl w:val="008EA1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980111D"/>
    <w:multiLevelType w:val="hybridMultilevel"/>
    <w:tmpl w:val="65CEF4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7E9E4221"/>
    <w:multiLevelType w:val="hybridMultilevel"/>
    <w:tmpl w:val="7F649A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8"/>
  </w:num>
  <w:num w:numId="6">
    <w:abstractNumId w:val="14"/>
  </w:num>
  <w:num w:numId="7">
    <w:abstractNumId w:val="9"/>
  </w:num>
  <w:num w:numId="8">
    <w:abstractNumId w:val="12"/>
  </w:num>
  <w:num w:numId="9">
    <w:abstractNumId w:val="1"/>
  </w:num>
  <w:num w:numId="10">
    <w:abstractNumId w:val="2"/>
  </w:num>
  <w:num w:numId="11">
    <w:abstractNumId w:val="5"/>
  </w:num>
  <w:num w:numId="12">
    <w:abstractNumId w:val="15"/>
  </w:num>
  <w:num w:numId="13">
    <w:abstractNumId w:val="6"/>
  </w:num>
  <w:num w:numId="14">
    <w:abstractNumId w:val="4"/>
  </w:num>
  <w:num w:numId="15">
    <w:abstractNumId w:val="13"/>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rsids>
    <w:rsidRoot w:val="00BE66D4"/>
    <w:rsid w:val="000434E3"/>
    <w:rsid w:val="00050F7D"/>
    <w:rsid w:val="0007277F"/>
    <w:rsid w:val="00082C3C"/>
    <w:rsid w:val="000B6413"/>
    <w:rsid w:val="000B7BB1"/>
    <w:rsid w:val="000E0E98"/>
    <w:rsid w:val="00145307"/>
    <w:rsid w:val="001D17DE"/>
    <w:rsid w:val="001D69BD"/>
    <w:rsid w:val="001D7BC7"/>
    <w:rsid w:val="00217220"/>
    <w:rsid w:val="00226126"/>
    <w:rsid w:val="00241524"/>
    <w:rsid w:val="00262762"/>
    <w:rsid w:val="002710FC"/>
    <w:rsid w:val="0027531E"/>
    <w:rsid w:val="002A5799"/>
    <w:rsid w:val="002A6D91"/>
    <w:rsid w:val="00370CFB"/>
    <w:rsid w:val="003A6B2F"/>
    <w:rsid w:val="0044255C"/>
    <w:rsid w:val="00445676"/>
    <w:rsid w:val="00470E44"/>
    <w:rsid w:val="00471704"/>
    <w:rsid w:val="004A79FC"/>
    <w:rsid w:val="004C062B"/>
    <w:rsid w:val="005115F0"/>
    <w:rsid w:val="00566D94"/>
    <w:rsid w:val="005719D6"/>
    <w:rsid w:val="005F0B01"/>
    <w:rsid w:val="006428FC"/>
    <w:rsid w:val="00665947"/>
    <w:rsid w:val="006E2531"/>
    <w:rsid w:val="00712AB9"/>
    <w:rsid w:val="00716A49"/>
    <w:rsid w:val="00772F5F"/>
    <w:rsid w:val="00902E50"/>
    <w:rsid w:val="009365EB"/>
    <w:rsid w:val="00954626"/>
    <w:rsid w:val="009F3828"/>
    <w:rsid w:val="00A23B9C"/>
    <w:rsid w:val="00A2736C"/>
    <w:rsid w:val="00AA3C06"/>
    <w:rsid w:val="00B150A4"/>
    <w:rsid w:val="00B76D7C"/>
    <w:rsid w:val="00BE66D4"/>
    <w:rsid w:val="00C02D2C"/>
    <w:rsid w:val="00C05B0E"/>
    <w:rsid w:val="00C36A72"/>
    <w:rsid w:val="00CE1D07"/>
    <w:rsid w:val="00D050CB"/>
    <w:rsid w:val="00D57B54"/>
    <w:rsid w:val="00DD4405"/>
    <w:rsid w:val="00F20EC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66D4"/>
    <w:pPr>
      <w:widowControl w:val="0"/>
      <w:spacing w:after="200" w:line="276" w:lineRule="auto"/>
    </w:pPr>
    <w:rPr>
      <w:sz w:val="22"/>
      <w:szCs w:val="22"/>
      <w:lang w:val="en-US" w:eastAsia="en-US"/>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E66D4"/>
    <w:pPr>
      <w:ind w:left="720"/>
      <w:contextualSpacing/>
    </w:pPr>
  </w:style>
  <w:style w:type="table" w:styleId="Grilledutableau">
    <w:name w:val="Table Grid"/>
    <w:basedOn w:val="TableauNormal"/>
    <w:uiPriority w:val="59"/>
    <w:rsid w:val="00B76D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basedOn w:val="Policepardfaut"/>
    <w:uiPriority w:val="22"/>
    <w:qFormat/>
    <w:rsid w:val="00954626"/>
    <w:rPr>
      <w:b/>
      <w:bCs/>
    </w:rPr>
  </w:style>
  <w:style w:type="paragraph" w:styleId="Sansinterligne">
    <w:name w:val="No Spacing"/>
    <w:uiPriority w:val="1"/>
    <w:qFormat/>
    <w:rsid w:val="002A6D91"/>
    <w:pPr>
      <w:widowControl w:val="0"/>
    </w:pPr>
    <w:rPr>
      <w:sz w:val="22"/>
      <w:szCs w:val="22"/>
      <w:lang w:val="en-US" w:eastAsia="en-US"/>
    </w:rPr>
  </w:style>
  <w:style w:type="paragraph" w:styleId="Textedebulles">
    <w:name w:val="Balloon Text"/>
    <w:basedOn w:val="Normal"/>
    <w:link w:val="TextedebullesCar"/>
    <w:uiPriority w:val="99"/>
    <w:semiHidden/>
    <w:unhideWhenUsed/>
    <w:rsid w:val="0024152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41524"/>
    <w:rPr>
      <w:rFonts w:ascii="Tahoma" w:hAnsi="Tahoma" w:cs="Tahoma"/>
      <w:sz w:val="16"/>
      <w:szCs w:val="16"/>
      <w:lang w:val="en-US"/>
    </w:rPr>
  </w:style>
  <w:style w:type="paragraph" w:customStyle="1" w:styleId="Pa4">
    <w:name w:val="Pa4"/>
    <w:basedOn w:val="Normal"/>
    <w:next w:val="Normal"/>
    <w:uiPriority w:val="99"/>
    <w:rsid w:val="00241524"/>
    <w:pPr>
      <w:widowControl/>
      <w:autoSpaceDE w:val="0"/>
      <w:autoSpaceDN w:val="0"/>
      <w:adjustRightInd w:val="0"/>
      <w:spacing w:after="0" w:line="241" w:lineRule="atLeast"/>
    </w:pPr>
    <w:rPr>
      <w:rFonts w:ascii="Century Gothic" w:hAnsi="Century Gothic"/>
      <w:sz w:val="24"/>
      <w:szCs w:val="24"/>
      <w:lang w:val="fr-FR"/>
    </w:rPr>
  </w:style>
  <w:style w:type="character" w:customStyle="1" w:styleId="A3">
    <w:name w:val="A3"/>
    <w:uiPriority w:val="99"/>
    <w:rsid w:val="00241524"/>
    <w:rPr>
      <w:rFonts w:cs="Century Gothic"/>
      <w:color w:val="000000"/>
      <w:sz w:val="20"/>
      <w:szCs w:val="20"/>
    </w:rPr>
  </w:style>
  <w:style w:type="paragraph" w:customStyle="1" w:styleId="Pa5">
    <w:name w:val="Pa5"/>
    <w:basedOn w:val="Normal"/>
    <w:next w:val="Normal"/>
    <w:uiPriority w:val="99"/>
    <w:rsid w:val="00241524"/>
    <w:pPr>
      <w:widowControl/>
      <w:autoSpaceDE w:val="0"/>
      <w:autoSpaceDN w:val="0"/>
      <w:adjustRightInd w:val="0"/>
      <w:spacing w:after="0" w:line="241" w:lineRule="atLeast"/>
    </w:pPr>
    <w:rPr>
      <w:rFonts w:ascii="Century Gothic" w:hAnsi="Century Gothic"/>
      <w:sz w:val="24"/>
      <w:szCs w:val="24"/>
      <w:lang w:val="fr-FR"/>
    </w:rPr>
  </w:style>
  <w:style w:type="character" w:styleId="Lienhypertexte">
    <w:name w:val="Hyperlink"/>
    <w:basedOn w:val="Policepardfaut"/>
    <w:uiPriority w:val="99"/>
    <w:unhideWhenUsed/>
    <w:rsid w:val="009365EB"/>
    <w:rPr>
      <w:color w:val="0000FF"/>
      <w:u w:val="single"/>
    </w:rPr>
  </w:style>
  <w:style w:type="paragraph" w:styleId="En-tte">
    <w:name w:val="header"/>
    <w:basedOn w:val="Normal"/>
    <w:link w:val="En-tteCar"/>
    <w:uiPriority w:val="99"/>
    <w:semiHidden/>
    <w:unhideWhenUsed/>
    <w:rsid w:val="0044255C"/>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44255C"/>
    <w:rPr>
      <w:lang w:val="en-US"/>
    </w:rPr>
  </w:style>
  <w:style w:type="paragraph" w:styleId="Pieddepage">
    <w:name w:val="footer"/>
    <w:basedOn w:val="Normal"/>
    <w:link w:val="PieddepageCar"/>
    <w:uiPriority w:val="99"/>
    <w:semiHidden/>
    <w:unhideWhenUsed/>
    <w:rsid w:val="0044255C"/>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44255C"/>
    <w:rPr>
      <w:lang w:val="en-US"/>
    </w:rPr>
  </w:style>
</w:styles>
</file>

<file path=word/webSettings.xml><?xml version="1.0" encoding="utf-8"?>
<w:webSettings xmlns:r="http://schemas.openxmlformats.org/officeDocument/2006/relationships" xmlns:w="http://schemas.openxmlformats.org/wordprocessingml/2006/main">
  <w:divs>
    <w:div w:id="789670824">
      <w:bodyDiv w:val="1"/>
      <w:marLeft w:val="0"/>
      <w:marRight w:val="0"/>
      <w:marTop w:val="0"/>
      <w:marBottom w:val="0"/>
      <w:divBdr>
        <w:top w:val="none" w:sz="0" w:space="0" w:color="auto"/>
        <w:left w:val="none" w:sz="0" w:space="0" w:color="auto"/>
        <w:bottom w:val="none" w:sz="0" w:space="0" w:color="auto"/>
        <w:right w:val="none" w:sz="0" w:space="0" w:color="auto"/>
      </w:divBdr>
    </w:div>
    <w:div w:id="795100386">
      <w:bodyDiv w:val="1"/>
      <w:marLeft w:val="0"/>
      <w:marRight w:val="0"/>
      <w:marTop w:val="0"/>
      <w:marBottom w:val="0"/>
      <w:divBdr>
        <w:top w:val="none" w:sz="0" w:space="0" w:color="auto"/>
        <w:left w:val="none" w:sz="0" w:space="0" w:color="auto"/>
        <w:bottom w:val="none" w:sz="0" w:space="0" w:color="auto"/>
        <w:right w:val="none" w:sz="0" w:space="0" w:color="auto"/>
      </w:divBdr>
    </w:div>
    <w:div w:id="1162888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fxd@groupeaci.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gls@groupeaci.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2334</Words>
  <Characters>12839</Characters>
  <Application>Microsoft Office Word</Application>
  <DocSecurity>0</DocSecurity>
  <Lines>106</Lines>
  <Paragraphs>30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15143</CharactersWithSpaces>
  <SharedDoc>false</SharedDoc>
  <HLinks>
    <vt:vector size="12" baseType="variant">
      <vt:variant>
        <vt:i4>1966130</vt:i4>
      </vt:variant>
      <vt:variant>
        <vt:i4>3</vt:i4>
      </vt:variant>
      <vt:variant>
        <vt:i4>0</vt:i4>
      </vt:variant>
      <vt:variant>
        <vt:i4>5</vt:i4>
      </vt:variant>
      <vt:variant>
        <vt:lpwstr>mailto:fxd@groupeaci.com</vt:lpwstr>
      </vt:variant>
      <vt:variant>
        <vt:lpwstr/>
      </vt:variant>
      <vt:variant>
        <vt:i4>524326</vt:i4>
      </vt:variant>
      <vt:variant>
        <vt:i4>0</vt:i4>
      </vt:variant>
      <vt:variant>
        <vt:i4>0</vt:i4>
      </vt:variant>
      <vt:variant>
        <vt:i4>5</vt:i4>
      </vt:variant>
      <vt:variant>
        <vt:lpwstr>mailto:gls@groupeaci.com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Stéphane de Reynal</dc:creator>
  <cp:lastModifiedBy>Stéphane de Reynal</cp:lastModifiedBy>
  <cp:revision>2</cp:revision>
  <cp:lastPrinted>2012-10-05T07:05:00Z</cp:lastPrinted>
  <dcterms:created xsi:type="dcterms:W3CDTF">2012-10-05T08:02:00Z</dcterms:created>
  <dcterms:modified xsi:type="dcterms:W3CDTF">2012-10-05T08:02:00Z</dcterms:modified>
</cp:coreProperties>
</file>